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61E3" w14:textId="37933367" w:rsidR="00592AFD" w:rsidRDefault="00592AFD" w:rsidP="006F6D50">
      <w:pPr>
        <w:autoSpaceDE w:val="0"/>
        <w:autoSpaceDN w:val="0"/>
        <w:adjustRightInd w:val="0"/>
        <w:rPr>
          <w:rFonts w:ascii="Arial" w:eastAsiaTheme="minorEastAsia" w:hAnsi="Arial" w:cs="Arial"/>
          <w:b/>
          <w:bCs/>
          <w:color w:val="FFC000"/>
          <w:sz w:val="18"/>
          <w:szCs w:val="18"/>
          <w:lang w:eastAsia="ja-JP"/>
        </w:rPr>
      </w:pPr>
      <w:r>
        <w:rPr>
          <w:rFonts w:ascii="Arial" w:eastAsiaTheme="minorEastAsia" w:hAnsi="Arial" w:cs="Arial"/>
          <w:b/>
          <w:bCs/>
          <w:color w:val="FFC000"/>
          <w:sz w:val="18"/>
          <w:szCs w:val="18"/>
          <w:lang w:eastAsia="ja-JP"/>
        </w:rPr>
        <w:t>INSTITUCIONAL</w:t>
      </w:r>
    </w:p>
    <w:p w14:paraId="1B932EBE" w14:textId="6BFAE5B1" w:rsidR="006F6D50" w:rsidRPr="006F6D50" w:rsidRDefault="006F6D50" w:rsidP="006F6D50">
      <w:pPr>
        <w:autoSpaceDE w:val="0"/>
        <w:autoSpaceDN w:val="0"/>
        <w:adjustRightInd w:val="0"/>
        <w:rPr>
          <w:rFonts w:ascii="Arial" w:eastAsiaTheme="minorEastAsia" w:hAnsi="Arial" w:cs="Arial"/>
          <w:b/>
          <w:bCs/>
          <w:color w:val="FFC000"/>
          <w:sz w:val="18"/>
          <w:szCs w:val="18"/>
          <w:lang w:eastAsia="ja-JP"/>
        </w:rPr>
      </w:pPr>
      <w:r w:rsidRPr="006F6D50">
        <w:rPr>
          <w:rFonts w:ascii="Arial" w:eastAsiaTheme="minorEastAsia" w:hAnsi="Arial" w:cs="Arial"/>
          <w:b/>
          <w:bCs/>
          <w:color w:val="FFC000"/>
          <w:sz w:val="18"/>
          <w:szCs w:val="18"/>
          <w:lang w:eastAsia="ja-JP"/>
        </w:rPr>
        <w:t>I</w:t>
      </w:r>
      <w:r w:rsidR="00592AFD" w:rsidRPr="006F6D50">
        <w:rPr>
          <w:rFonts w:ascii="Arial" w:eastAsiaTheme="minorEastAsia" w:hAnsi="Arial" w:cs="Arial"/>
          <w:b/>
          <w:bCs/>
          <w:color w:val="FFC000"/>
          <w:sz w:val="18"/>
          <w:szCs w:val="18"/>
          <w:lang w:eastAsia="ja-JP"/>
        </w:rPr>
        <w:t>nformación general</w:t>
      </w:r>
    </w:p>
    <w:p w14:paraId="7874E5CB" w14:textId="77777777" w:rsidR="006F6D50" w:rsidRPr="006F6D50" w:rsidRDefault="006F6D50" w:rsidP="006F6D50">
      <w:pPr>
        <w:autoSpaceDE w:val="0"/>
        <w:autoSpaceDN w:val="0"/>
        <w:adjustRightInd w:val="0"/>
        <w:rPr>
          <w:rFonts w:ascii="Arial" w:eastAsiaTheme="minorEastAsia" w:hAnsi="Arial" w:cs="Arial"/>
          <w:b/>
          <w:bCs/>
          <w:sz w:val="18"/>
          <w:szCs w:val="18"/>
          <w:lang w:eastAsia="ja-JP"/>
        </w:rPr>
      </w:pPr>
    </w:p>
    <w:p w14:paraId="37A0947B"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r w:rsidRPr="006F6D50">
        <w:rPr>
          <w:rFonts w:ascii="Arial" w:eastAsiaTheme="minorEastAsia" w:hAnsi="Arial" w:cs="Arial"/>
          <w:sz w:val="18"/>
          <w:szCs w:val="18"/>
          <w:lang w:eastAsia="ja-JP"/>
        </w:rPr>
        <w:t>El Instituto Volcanológico de Canarias, S.A.U. (en adelante “la Sociedad”) con CIF A-76519925, se constituyó el 29 de junio de 2010, mediante escritura autorizada por el Notario Don Mario Morales García, inscrita en el Registro Mercantil de Santa Cruz de Tenerife en el tomo3.149, folio 120, hoja número TF-47.580 inscripción primera.</w:t>
      </w:r>
    </w:p>
    <w:p w14:paraId="266D16B7"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p>
    <w:p w14:paraId="420D30C3"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r w:rsidRPr="006F6D50">
        <w:rPr>
          <w:rFonts w:ascii="Arial" w:eastAsiaTheme="minorEastAsia" w:hAnsi="Arial" w:cs="Arial"/>
          <w:sz w:val="18"/>
          <w:szCs w:val="18"/>
          <w:lang w:eastAsia="ja-JP"/>
        </w:rPr>
        <w:t>Su domicilio social se encuentra establecido en el Polígono Industrial de Granadilla, s/n Granadilla de Abona, Santa Cruz de Tenerife.</w:t>
      </w:r>
    </w:p>
    <w:p w14:paraId="0F149138"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p>
    <w:p w14:paraId="2313C5CC"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r w:rsidRPr="006F6D50">
        <w:rPr>
          <w:rFonts w:ascii="Arial" w:eastAsiaTheme="minorEastAsia" w:hAnsi="Arial" w:cs="Arial"/>
          <w:sz w:val="18"/>
          <w:szCs w:val="18"/>
          <w:lang w:eastAsia="ja-JP"/>
        </w:rPr>
        <w:t>La Sociedad pertenece al Grupo ITER.</w:t>
      </w:r>
    </w:p>
    <w:p w14:paraId="4897DC48"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p>
    <w:p w14:paraId="04EA8057"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r w:rsidRPr="006F6D50">
        <w:rPr>
          <w:rFonts w:ascii="Arial" w:eastAsiaTheme="minorEastAsia" w:hAnsi="Arial" w:cs="Arial"/>
          <w:sz w:val="18"/>
          <w:szCs w:val="18"/>
          <w:lang w:eastAsia="ja-JP"/>
        </w:rPr>
        <w:t>La información del grupo de sociedades en los términos previstos en el artículo 42 del Código de Comercio es la siguiente:</w:t>
      </w:r>
    </w:p>
    <w:p w14:paraId="334A3657"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r w:rsidRPr="006F6D50">
        <w:rPr>
          <w:rFonts w:ascii="Arial" w:eastAsiaTheme="minorEastAsia" w:hAnsi="Arial" w:cs="Arial"/>
          <w:sz w:val="18"/>
          <w:szCs w:val="18"/>
          <w:lang w:eastAsia="ja-JP"/>
        </w:rPr>
        <w:t>La Sociedad Dominante es el “</w:t>
      </w:r>
      <w:r w:rsidRPr="006F6D50">
        <w:rPr>
          <w:rFonts w:ascii="Arial" w:eastAsiaTheme="minorEastAsia" w:hAnsi="Arial" w:cs="Arial"/>
          <w:b/>
          <w:bCs/>
          <w:sz w:val="18"/>
          <w:szCs w:val="18"/>
          <w:lang w:eastAsia="ja-JP"/>
        </w:rPr>
        <w:t>Instituto Tecnológico y de Energías Renovables, S.A.</w:t>
      </w:r>
      <w:r w:rsidRPr="006F6D50">
        <w:rPr>
          <w:rFonts w:ascii="Arial" w:eastAsiaTheme="minorEastAsia" w:hAnsi="Arial" w:cs="Arial"/>
          <w:sz w:val="18"/>
          <w:szCs w:val="18"/>
          <w:lang w:eastAsia="ja-JP"/>
        </w:rPr>
        <w:t>” (ITER, S.A), que al cierre del ejercicio poseía el 100% de las participaciones, tiene su domicilio en Polígono Industrial de Granadilla, s/n, Granadilla de Abona, Santa Cruz de Tenerife y deposita las cuentas anuales consolidadas en el Registro Mercantil de Santa Cruz de Tenerife.</w:t>
      </w:r>
    </w:p>
    <w:p w14:paraId="41136BF1" w14:textId="77777777" w:rsidR="006F6D50" w:rsidRPr="006F6D50" w:rsidRDefault="006F6D50" w:rsidP="006F6D50">
      <w:pPr>
        <w:autoSpaceDE w:val="0"/>
        <w:autoSpaceDN w:val="0"/>
        <w:adjustRightInd w:val="0"/>
        <w:ind w:right="142"/>
        <w:jc w:val="both"/>
        <w:rPr>
          <w:rFonts w:ascii="Arial" w:eastAsiaTheme="minorEastAsia" w:hAnsi="Arial" w:cs="Arial"/>
          <w:sz w:val="18"/>
          <w:szCs w:val="18"/>
          <w:lang w:eastAsia="ja-JP"/>
        </w:rPr>
      </w:pPr>
    </w:p>
    <w:p w14:paraId="0FE5AA8F" w14:textId="5EF7878B" w:rsidR="006C183E" w:rsidRPr="006F6D50" w:rsidRDefault="006C183E" w:rsidP="004A67BE">
      <w:pPr>
        <w:rPr>
          <w:sz w:val="18"/>
          <w:szCs w:val="18"/>
        </w:rPr>
      </w:pPr>
    </w:p>
    <w:sectPr w:rsidR="006C183E" w:rsidRPr="006F6D50" w:rsidSect="00C5524A">
      <w:headerReference w:type="even" r:id="rId9"/>
      <w:headerReference w:type="default" r:id="rId10"/>
      <w:footerReference w:type="default" r:id="rId11"/>
      <w:headerReference w:type="first" r:id="rId12"/>
      <w:footerReference w:type="first" r:id="rId13"/>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01221E" id="Rectángulo 2" o:spid="_x0000_s1026" style="position:absolute;margin-left:1.25pt;margin-top:19.3pt;width:594.75pt;height:1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8B900F3" id="Rectángulo 5" o:spid="_x0000_s1026" style="position:absolute;margin-left:.75pt;margin-top:30.65pt;width:594.75pt;height:1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592AFD">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92AFD"/>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6F6D50"/>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FD"/>
    <w:pPr>
      <w:spacing w:line="259" w:lineRule="auto"/>
    </w:pPr>
    <w:rPr>
      <w:rFonts w:eastAsiaTheme="minorHAnsi"/>
      <w:sz w:val="22"/>
      <w:szCs w:val="22"/>
      <w:lang w:val="es-ES" w:eastAsia="en-US"/>
    </w:rPr>
  </w:style>
  <w:style w:type="paragraph" w:styleId="Ttulo1">
    <w:name w:val="heading 1"/>
    <w:basedOn w:val="Normal"/>
    <w:next w:val="Normal"/>
    <w:link w:val="Ttulo1Car"/>
    <w:uiPriority w:val="9"/>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592AF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92AFD"/>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99"/>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99"/>
    <w:locked/>
    <w:rsid w:val="00263CA2"/>
    <w:rPr>
      <w:rFonts w:eastAsiaTheme="majorEastAsia" w:cstheme="maj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876</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3</cp:revision>
  <cp:lastPrinted>2016-09-08T10:42:00Z</cp:lastPrinted>
  <dcterms:created xsi:type="dcterms:W3CDTF">2023-10-16T09:27:00Z</dcterms:created>
  <dcterms:modified xsi:type="dcterms:W3CDTF">2023-10-25T12:35:00Z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