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A00ABC" w:rsidRPr="006127DD" w:rsidRDefault="00A00ABC" w:rsidP="00A00ABC">
      <w:pPr>
        <w:jc w:val="center"/>
        <w:rPr>
          <w:rFonts w:ascii="Arial" w:hAnsi="Arial" w:cs="Arial"/>
          <w:sz w:val="72"/>
          <w:szCs w:val="72"/>
        </w:rPr>
      </w:pPr>
      <w:r w:rsidRPr="006127DD">
        <w:rPr>
          <w:rFonts w:ascii="Arial" w:hAnsi="Arial" w:cs="Arial"/>
          <w:sz w:val="72"/>
          <w:szCs w:val="72"/>
        </w:rPr>
        <w:t>PAIF 20</w:t>
      </w:r>
      <w:r w:rsidR="00A756F6">
        <w:rPr>
          <w:rFonts w:ascii="Arial" w:hAnsi="Arial" w:cs="Arial"/>
          <w:sz w:val="72"/>
          <w:szCs w:val="72"/>
        </w:rPr>
        <w:t>20</w:t>
      </w:r>
    </w:p>
    <w:p w:rsidR="00A00ABC"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Default="00A00ABC" w:rsidP="00A00ABC">
      <w:pPr>
        <w:jc w:val="center"/>
        <w:rPr>
          <w:rFonts w:ascii="Arial" w:hAnsi="Arial" w:cs="Arial"/>
          <w:sz w:val="48"/>
          <w:szCs w:val="48"/>
        </w:rPr>
      </w:pPr>
      <w:r w:rsidRPr="006127DD">
        <w:rPr>
          <w:rFonts w:ascii="Arial" w:hAnsi="Arial" w:cs="Arial"/>
          <w:sz w:val="48"/>
          <w:szCs w:val="48"/>
        </w:rPr>
        <w:t xml:space="preserve">Programa de Actuación, </w:t>
      </w:r>
    </w:p>
    <w:p w:rsidR="00A00ABC" w:rsidRPr="006127DD" w:rsidRDefault="00A00ABC" w:rsidP="00A00ABC">
      <w:pPr>
        <w:jc w:val="center"/>
        <w:rPr>
          <w:rFonts w:ascii="Arial" w:hAnsi="Arial" w:cs="Arial"/>
          <w:sz w:val="48"/>
          <w:szCs w:val="48"/>
        </w:rPr>
      </w:pPr>
      <w:r w:rsidRPr="006127DD">
        <w:rPr>
          <w:rFonts w:ascii="Arial" w:hAnsi="Arial" w:cs="Arial"/>
          <w:sz w:val="48"/>
          <w:szCs w:val="48"/>
        </w:rPr>
        <w:t xml:space="preserve">Inversiones y Financiación </w:t>
      </w:r>
      <w:r w:rsidR="002341A2">
        <w:rPr>
          <w:rFonts w:ascii="Arial" w:hAnsi="Arial" w:cs="Arial"/>
          <w:sz w:val="48"/>
          <w:szCs w:val="48"/>
        </w:rPr>
        <w:t>20</w:t>
      </w:r>
      <w:r w:rsidR="00A756F6">
        <w:rPr>
          <w:rFonts w:ascii="Arial" w:hAnsi="Arial" w:cs="Arial"/>
          <w:sz w:val="48"/>
          <w:szCs w:val="48"/>
        </w:rPr>
        <w:t>20</w:t>
      </w:r>
    </w:p>
    <w:p w:rsidR="00A00ABC" w:rsidRPr="006127DD" w:rsidRDefault="00A00ABC" w:rsidP="00A00ABC">
      <w:pPr>
        <w:jc w:val="center"/>
        <w:rPr>
          <w:rFonts w:ascii="Arial" w:hAnsi="Arial" w:cs="Arial"/>
          <w:sz w:val="48"/>
          <w:szCs w:val="48"/>
        </w:rPr>
      </w:pPr>
    </w:p>
    <w:p w:rsidR="007B147D" w:rsidRDefault="00AF21FC" w:rsidP="00A00ABC">
      <w:pPr>
        <w:jc w:val="center"/>
        <w:rPr>
          <w:rFonts w:ascii="Arial" w:hAnsi="Arial" w:cs="Arial"/>
          <w:sz w:val="48"/>
          <w:szCs w:val="48"/>
        </w:rPr>
      </w:pPr>
      <w:r>
        <w:rPr>
          <w:rFonts w:ascii="Arial" w:hAnsi="Arial" w:cs="Arial"/>
          <w:sz w:val="48"/>
          <w:szCs w:val="48"/>
        </w:rPr>
        <w:t>INSTITUTO VOLCANOLÓGICO DE CANARIAS</w:t>
      </w:r>
    </w:p>
    <w:p w:rsidR="007B147D" w:rsidRDefault="007B147D">
      <w:pPr>
        <w:rPr>
          <w:rFonts w:ascii="Arial" w:hAnsi="Arial" w:cs="Arial"/>
          <w:sz w:val="48"/>
          <w:szCs w:val="48"/>
        </w:rPr>
      </w:pPr>
      <w:r>
        <w:rPr>
          <w:rFonts w:ascii="Arial" w:hAnsi="Arial" w:cs="Arial"/>
          <w:sz w:val="48"/>
          <w:szCs w:val="48"/>
        </w:rPr>
        <w:br w:type="page"/>
      </w:r>
    </w:p>
    <w:p w:rsidR="00C7434D" w:rsidRDefault="006F2A2A">
      <w:pPr>
        <w:rPr>
          <w:rFonts w:ascii="Arial" w:hAnsi="Arial" w:cs="Arial"/>
          <w:sz w:val="11"/>
          <w:szCs w:val="11"/>
        </w:rPr>
      </w:pPr>
      <w:r w:rsidRPr="006F2A2A">
        <w:rPr>
          <w:noProof/>
        </w:rPr>
        <w:lastRenderedPageBreak/>
        <w:drawing>
          <wp:inline distT="0" distB="0" distL="0" distR="0" wp14:anchorId="779480D3" wp14:editId="171F1079">
            <wp:extent cx="5400478"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0057585"/>
                    </a:xfrm>
                    <a:prstGeom prst="rect">
                      <a:avLst/>
                    </a:prstGeom>
                    <a:noFill/>
                    <a:ln>
                      <a:noFill/>
                    </a:ln>
                  </pic:spPr>
                </pic:pic>
              </a:graphicData>
            </a:graphic>
          </wp:inline>
        </w:drawing>
      </w:r>
      <w:r w:rsidR="00C7434D">
        <w:rPr>
          <w:rFonts w:ascii="Arial" w:hAnsi="Arial" w:cs="Arial"/>
          <w:sz w:val="11"/>
          <w:szCs w:val="11"/>
        </w:rPr>
        <w:br w:type="page"/>
      </w:r>
    </w:p>
    <w:p w:rsidR="00C7434D" w:rsidRDefault="006F2A2A">
      <w:pPr>
        <w:rPr>
          <w:rFonts w:ascii="Arial" w:hAnsi="Arial" w:cs="Arial"/>
          <w:sz w:val="11"/>
          <w:szCs w:val="11"/>
        </w:rPr>
      </w:pPr>
      <w:r w:rsidRPr="006F2A2A">
        <w:rPr>
          <w:noProof/>
        </w:rPr>
        <w:lastRenderedPageBreak/>
        <w:drawing>
          <wp:inline distT="0" distB="0" distL="0" distR="0" wp14:anchorId="6CD715ED" wp14:editId="1271138C">
            <wp:extent cx="5753100" cy="1006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0079038"/>
                    </a:xfrm>
                    <a:prstGeom prst="rect">
                      <a:avLst/>
                    </a:prstGeom>
                    <a:noFill/>
                    <a:ln>
                      <a:noFill/>
                    </a:ln>
                  </pic:spPr>
                </pic:pic>
              </a:graphicData>
            </a:graphic>
          </wp:inline>
        </w:drawing>
      </w:r>
      <w:r w:rsidR="00C7434D">
        <w:rPr>
          <w:rFonts w:ascii="Arial" w:hAnsi="Arial" w:cs="Arial"/>
          <w:sz w:val="11"/>
          <w:szCs w:val="11"/>
        </w:rPr>
        <w:br w:type="page"/>
      </w:r>
    </w:p>
    <w:p w:rsidR="00C7434D" w:rsidRDefault="006F2A2A">
      <w:pPr>
        <w:rPr>
          <w:rFonts w:ascii="Arial" w:hAnsi="Arial" w:cs="Arial"/>
          <w:sz w:val="11"/>
          <w:szCs w:val="11"/>
        </w:rPr>
      </w:pPr>
      <w:r w:rsidRPr="006F2A2A">
        <w:rPr>
          <w:noProof/>
        </w:rPr>
        <w:lastRenderedPageBreak/>
        <w:drawing>
          <wp:inline distT="0" distB="0" distL="0" distR="0" wp14:anchorId="324DF66E" wp14:editId="73F3AC87">
            <wp:extent cx="5753100" cy="1011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0126715"/>
                    </a:xfrm>
                    <a:prstGeom prst="rect">
                      <a:avLst/>
                    </a:prstGeom>
                    <a:noFill/>
                    <a:ln>
                      <a:noFill/>
                    </a:ln>
                  </pic:spPr>
                </pic:pic>
              </a:graphicData>
            </a:graphic>
          </wp:inline>
        </w:drawing>
      </w:r>
      <w:r w:rsidR="00C7434D">
        <w:rPr>
          <w:rFonts w:ascii="Arial" w:hAnsi="Arial" w:cs="Arial"/>
          <w:sz w:val="11"/>
          <w:szCs w:val="11"/>
        </w:rPr>
        <w:br w:type="page"/>
      </w:r>
    </w:p>
    <w:p w:rsidR="00C7434D" w:rsidRDefault="006F2A2A">
      <w:pPr>
        <w:rPr>
          <w:rFonts w:ascii="Arial" w:hAnsi="Arial" w:cs="Arial"/>
          <w:sz w:val="11"/>
          <w:szCs w:val="11"/>
        </w:rPr>
      </w:pPr>
      <w:r w:rsidRPr="006F2A2A">
        <w:rPr>
          <w:noProof/>
        </w:rPr>
        <w:lastRenderedPageBreak/>
        <w:drawing>
          <wp:inline distT="0" distB="0" distL="0" distR="0" wp14:anchorId="2098A86B" wp14:editId="1B81C998">
            <wp:extent cx="5759115" cy="1013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135190"/>
                    </a:xfrm>
                    <a:prstGeom prst="rect">
                      <a:avLst/>
                    </a:prstGeom>
                    <a:noFill/>
                    <a:ln>
                      <a:noFill/>
                    </a:ln>
                  </pic:spPr>
                </pic:pic>
              </a:graphicData>
            </a:graphic>
          </wp:inline>
        </w:drawing>
      </w:r>
      <w:r w:rsidR="00C7434D">
        <w:rPr>
          <w:rFonts w:ascii="Arial" w:hAnsi="Arial" w:cs="Arial"/>
          <w:sz w:val="11"/>
          <w:szCs w:val="11"/>
        </w:rPr>
        <w:br w:type="page"/>
      </w:r>
    </w:p>
    <w:p w:rsidR="00C7434D" w:rsidRDefault="00C7434D">
      <w:pPr>
        <w:rPr>
          <w:rFonts w:ascii="Arial" w:hAnsi="Arial" w:cs="Arial"/>
          <w:sz w:val="11"/>
          <w:szCs w:val="11"/>
        </w:rPr>
        <w:sectPr w:rsidR="00C7434D" w:rsidSect="006F2A2A">
          <w:footerReference w:type="default" r:id="rId13"/>
          <w:pgSz w:w="11906" w:h="16838"/>
          <w:pgMar w:top="284" w:right="1418" w:bottom="284" w:left="1418" w:header="720" w:footer="266" w:gutter="0"/>
          <w:cols w:space="720"/>
          <w:docGrid w:linePitch="272"/>
        </w:sectPr>
      </w:pPr>
    </w:p>
    <w:p w:rsidR="00C7434D" w:rsidRDefault="006F2A2A">
      <w:pPr>
        <w:rPr>
          <w:rFonts w:ascii="Arial" w:hAnsi="Arial" w:cs="Arial"/>
          <w:sz w:val="11"/>
          <w:szCs w:val="11"/>
        </w:rPr>
        <w:sectPr w:rsidR="00C7434D" w:rsidSect="006F2A2A">
          <w:pgSz w:w="16838" w:h="11906" w:orient="landscape"/>
          <w:pgMar w:top="284" w:right="1418" w:bottom="284" w:left="1418" w:header="720" w:footer="266" w:gutter="0"/>
          <w:cols w:space="720"/>
          <w:docGrid w:linePitch="272"/>
        </w:sectPr>
      </w:pPr>
      <w:r w:rsidRPr="006F2A2A">
        <w:rPr>
          <w:noProof/>
        </w:rPr>
        <w:lastRenderedPageBreak/>
        <w:drawing>
          <wp:inline distT="0" distB="0" distL="0" distR="0" wp14:anchorId="231E1942" wp14:editId="54BBAB7A">
            <wp:extent cx="8886825" cy="7010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1270" cy="7013906"/>
                    </a:xfrm>
                    <a:prstGeom prst="rect">
                      <a:avLst/>
                    </a:prstGeom>
                    <a:noFill/>
                    <a:ln>
                      <a:noFill/>
                    </a:ln>
                  </pic:spPr>
                </pic:pic>
              </a:graphicData>
            </a:graphic>
          </wp:inline>
        </w:drawing>
      </w:r>
    </w:p>
    <w:p w:rsidR="00C7434D" w:rsidRDefault="006F2A2A">
      <w:pPr>
        <w:rPr>
          <w:rFonts w:ascii="Arial" w:hAnsi="Arial" w:cs="Arial"/>
          <w:sz w:val="11"/>
          <w:szCs w:val="11"/>
        </w:rPr>
        <w:sectPr w:rsidR="00C7434D" w:rsidSect="006F2A2A">
          <w:pgSz w:w="16838" w:h="11906" w:orient="landscape"/>
          <w:pgMar w:top="284" w:right="1418" w:bottom="284" w:left="1418" w:header="720" w:footer="266" w:gutter="0"/>
          <w:cols w:space="720"/>
          <w:docGrid w:linePitch="272"/>
        </w:sectPr>
      </w:pPr>
      <w:r w:rsidRPr="006F2A2A">
        <w:rPr>
          <w:noProof/>
        </w:rPr>
        <w:lastRenderedPageBreak/>
        <w:drawing>
          <wp:inline distT="0" distB="0" distL="0" distR="0" wp14:anchorId="7E225C8A" wp14:editId="07452401">
            <wp:extent cx="8886825" cy="6943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6825" cy="6943725"/>
                    </a:xfrm>
                    <a:prstGeom prst="rect">
                      <a:avLst/>
                    </a:prstGeom>
                    <a:noFill/>
                    <a:ln>
                      <a:noFill/>
                    </a:ln>
                  </pic:spPr>
                </pic:pic>
              </a:graphicData>
            </a:graphic>
          </wp:inline>
        </w:drawing>
      </w:r>
      <w:r w:rsidR="00C7434D">
        <w:rPr>
          <w:rFonts w:ascii="Arial" w:hAnsi="Arial" w:cs="Arial"/>
          <w:sz w:val="11"/>
          <w:szCs w:val="11"/>
        </w:rPr>
        <w:br w:type="page"/>
      </w:r>
      <w:r w:rsidRPr="006F2A2A">
        <w:rPr>
          <w:noProof/>
        </w:rPr>
        <w:lastRenderedPageBreak/>
        <w:drawing>
          <wp:inline distT="0" distB="0" distL="0" distR="0" wp14:anchorId="488901EF" wp14:editId="4B1C0E42">
            <wp:extent cx="8886825" cy="6905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6909079"/>
                    </a:xfrm>
                    <a:prstGeom prst="rect">
                      <a:avLst/>
                    </a:prstGeom>
                    <a:noFill/>
                    <a:ln>
                      <a:noFill/>
                    </a:ln>
                  </pic:spPr>
                </pic:pic>
              </a:graphicData>
            </a:graphic>
          </wp:inline>
        </w:drawing>
      </w:r>
    </w:p>
    <w:p w:rsidR="00C7434D" w:rsidRDefault="00C7434D">
      <w:pPr>
        <w:rPr>
          <w:rFonts w:ascii="Arial" w:hAnsi="Arial" w:cs="Arial"/>
          <w:sz w:val="11"/>
          <w:szCs w:val="11"/>
        </w:rPr>
      </w:pPr>
    </w:p>
    <w:p w:rsidR="00C7434D" w:rsidRDefault="006F2A2A">
      <w:pPr>
        <w:rPr>
          <w:rFonts w:ascii="Arial" w:hAnsi="Arial" w:cs="Arial"/>
          <w:sz w:val="11"/>
          <w:szCs w:val="11"/>
        </w:rPr>
      </w:pPr>
      <w:r w:rsidRPr="006F2A2A">
        <w:rPr>
          <w:noProof/>
        </w:rPr>
        <w:drawing>
          <wp:inline distT="0" distB="0" distL="0" distR="0" wp14:anchorId="0D2C3D24" wp14:editId="753239E9">
            <wp:extent cx="5757734" cy="9963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966119"/>
                    </a:xfrm>
                    <a:prstGeom prst="rect">
                      <a:avLst/>
                    </a:prstGeom>
                    <a:noFill/>
                    <a:ln>
                      <a:noFill/>
                    </a:ln>
                  </pic:spPr>
                </pic:pic>
              </a:graphicData>
            </a:graphic>
          </wp:inline>
        </w:drawing>
      </w:r>
      <w:r w:rsidR="00C7434D">
        <w:rPr>
          <w:rFonts w:ascii="Arial" w:hAnsi="Arial" w:cs="Arial"/>
          <w:sz w:val="11"/>
          <w:szCs w:val="11"/>
        </w:rPr>
        <w:br w:type="page"/>
      </w:r>
    </w:p>
    <w:p w:rsidR="00C7434D" w:rsidRDefault="006F2A2A">
      <w:pPr>
        <w:rPr>
          <w:rFonts w:ascii="Arial" w:hAnsi="Arial" w:cs="Arial"/>
          <w:sz w:val="11"/>
          <w:szCs w:val="11"/>
        </w:rPr>
      </w:pPr>
      <w:r w:rsidRPr="006F2A2A">
        <w:rPr>
          <w:noProof/>
        </w:rPr>
        <w:lastRenderedPageBreak/>
        <w:drawing>
          <wp:inline distT="0" distB="0" distL="0" distR="0" wp14:anchorId="4134D2C7" wp14:editId="22870139">
            <wp:extent cx="5753100" cy="1017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10183929"/>
                    </a:xfrm>
                    <a:prstGeom prst="rect">
                      <a:avLst/>
                    </a:prstGeom>
                    <a:noFill/>
                    <a:ln>
                      <a:noFill/>
                    </a:ln>
                  </pic:spPr>
                </pic:pic>
              </a:graphicData>
            </a:graphic>
          </wp:inline>
        </w:drawing>
      </w:r>
      <w:r w:rsidR="00C7434D">
        <w:rPr>
          <w:rFonts w:ascii="Arial" w:hAnsi="Arial" w:cs="Arial"/>
          <w:sz w:val="11"/>
          <w:szCs w:val="11"/>
        </w:rPr>
        <w:br w:type="page"/>
      </w:r>
    </w:p>
    <w:p w:rsidR="00C7434D" w:rsidRDefault="006F2A2A">
      <w:pPr>
        <w:rPr>
          <w:rFonts w:ascii="Arial" w:hAnsi="Arial" w:cs="Arial"/>
          <w:sz w:val="11"/>
          <w:szCs w:val="11"/>
        </w:rPr>
      </w:pPr>
      <w:r w:rsidRPr="006F2A2A">
        <w:rPr>
          <w:noProof/>
        </w:rPr>
        <w:lastRenderedPageBreak/>
        <w:drawing>
          <wp:inline distT="0" distB="0" distL="0" distR="0" wp14:anchorId="200226A1" wp14:editId="0D90A7E3">
            <wp:extent cx="5758994" cy="10048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0049671"/>
                    </a:xfrm>
                    <a:prstGeom prst="rect">
                      <a:avLst/>
                    </a:prstGeom>
                    <a:noFill/>
                    <a:ln>
                      <a:noFill/>
                    </a:ln>
                  </pic:spPr>
                </pic:pic>
              </a:graphicData>
            </a:graphic>
          </wp:inline>
        </w:drawing>
      </w:r>
      <w:r w:rsidR="00C7434D">
        <w:rPr>
          <w:rFonts w:ascii="Arial" w:hAnsi="Arial" w:cs="Arial"/>
          <w:sz w:val="11"/>
          <w:szCs w:val="11"/>
        </w:rPr>
        <w:br w:type="page"/>
      </w:r>
    </w:p>
    <w:p w:rsidR="00C7434D" w:rsidRDefault="00AA5294">
      <w:pPr>
        <w:rPr>
          <w:rFonts w:ascii="Arial" w:hAnsi="Arial" w:cs="Arial"/>
          <w:sz w:val="11"/>
          <w:szCs w:val="11"/>
        </w:rPr>
      </w:pPr>
      <w:r w:rsidRPr="00AA5294">
        <w:rPr>
          <w:noProof/>
        </w:rPr>
        <w:lastRenderedPageBreak/>
        <w:drawing>
          <wp:inline distT="0" distB="0" distL="0" distR="0" wp14:anchorId="78BB66A3" wp14:editId="485D77BF">
            <wp:extent cx="5760849" cy="10039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0036913"/>
                    </a:xfrm>
                    <a:prstGeom prst="rect">
                      <a:avLst/>
                    </a:prstGeom>
                    <a:noFill/>
                    <a:ln>
                      <a:noFill/>
                    </a:ln>
                  </pic:spPr>
                </pic:pic>
              </a:graphicData>
            </a:graphic>
          </wp:inline>
        </w:drawing>
      </w:r>
    </w:p>
    <w:p w:rsidR="00C7434D" w:rsidRDefault="00AA5294">
      <w:pPr>
        <w:rPr>
          <w:rFonts w:ascii="Arial" w:hAnsi="Arial" w:cs="Arial"/>
          <w:sz w:val="11"/>
          <w:szCs w:val="11"/>
        </w:rPr>
      </w:pPr>
      <w:r w:rsidRPr="00AA5294">
        <w:rPr>
          <w:noProof/>
        </w:rPr>
        <w:lastRenderedPageBreak/>
        <w:drawing>
          <wp:inline distT="0" distB="0" distL="0" distR="0" wp14:anchorId="7CCF7B4A" wp14:editId="3EB9CE54">
            <wp:extent cx="5756287" cy="1007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0082988"/>
                    </a:xfrm>
                    <a:prstGeom prst="rect">
                      <a:avLst/>
                    </a:prstGeom>
                    <a:noFill/>
                    <a:ln>
                      <a:noFill/>
                    </a:ln>
                  </pic:spPr>
                </pic:pic>
              </a:graphicData>
            </a:graphic>
          </wp:inline>
        </w:drawing>
      </w:r>
      <w:r w:rsidR="00C7434D">
        <w:rPr>
          <w:rFonts w:ascii="Arial" w:hAnsi="Arial" w:cs="Arial"/>
          <w:sz w:val="11"/>
          <w:szCs w:val="11"/>
        </w:rPr>
        <w:br w:type="page"/>
      </w:r>
    </w:p>
    <w:p w:rsidR="00C7434D" w:rsidRDefault="00AA5294">
      <w:pPr>
        <w:rPr>
          <w:rFonts w:ascii="Arial" w:hAnsi="Arial" w:cs="Arial"/>
          <w:sz w:val="11"/>
          <w:szCs w:val="11"/>
        </w:rPr>
      </w:pPr>
      <w:r w:rsidRPr="00AA5294">
        <w:rPr>
          <w:noProof/>
        </w:rPr>
        <w:lastRenderedPageBreak/>
        <w:drawing>
          <wp:inline distT="0" distB="0" distL="0" distR="0" wp14:anchorId="53549FAD" wp14:editId="707E7EF8">
            <wp:extent cx="5761874" cy="929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9292490"/>
                    </a:xfrm>
                    <a:prstGeom prst="rect">
                      <a:avLst/>
                    </a:prstGeom>
                    <a:noFill/>
                    <a:ln>
                      <a:noFill/>
                    </a:ln>
                  </pic:spPr>
                </pic:pic>
              </a:graphicData>
            </a:graphic>
          </wp:inline>
        </w:drawing>
      </w:r>
      <w:r w:rsidR="00C7434D">
        <w:rPr>
          <w:rFonts w:ascii="Arial" w:hAnsi="Arial" w:cs="Arial"/>
          <w:sz w:val="11"/>
          <w:szCs w:val="11"/>
        </w:rPr>
        <w:br w:type="page"/>
      </w:r>
    </w:p>
    <w:p w:rsidR="00C7434D" w:rsidRDefault="00AA5294">
      <w:pPr>
        <w:rPr>
          <w:rFonts w:ascii="Arial" w:hAnsi="Arial" w:cs="Arial"/>
          <w:sz w:val="11"/>
          <w:szCs w:val="11"/>
        </w:rPr>
      </w:pPr>
      <w:r w:rsidRPr="00AA5294">
        <w:rPr>
          <w:noProof/>
        </w:rPr>
        <w:lastRenderedPageBreak/>
        <w:drawing>
          <wp:inline distT="0" distB="0" distL="0" distR="0" wp14:anchorId="04525A04" wp14:editId="6653EBBF">
            <wp:extent cx="5761977" cy="8020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016532"/>
                    </a:xfrm>
                    <a:prstGeom prst="rect">
                      <a:avLst/>
                    </a:prstGeom>
                    <a:noFill/>
                    <a:ln>
                      <a:noFill/>
                    </a:ln>
                  </pic:spPr>
                </pic:pic>
              </a:graphicData>
            </a:graphic>
          </wp:inline>
        </w:drawing>
      </w:r>
      <w:r w:rsidR="00C7434D">
        <w:rPr>
          <w:rFonts w:ascii="Arial" w:hAnsi="Arial" w:cs="Arial"/>
          <w:sz w:val="11"/>
          <w:szCs w:val="11"/>
        </w:rPr>
        <w:br w:type="page"/>
      </w:r>
    </w:p>
    <w:p w:rsidR="00C7434D" w:rsidRDefault="00AA5294">
      <w:pPr>
        <w:rPr>
          <w:rFonts w:ascii="Arial" w:hAnsi="Arial" w:cs="Arial"/>
          <w:sz w:val="11"/>
          <w:szCs w:val="11"/>
        </w:rPr>
      </w:pPr>
      <w:r w:rsidRPr="00AA5294">
        <w:rPr>
          <w:noProof/>
        </w:rPr>
        <w:lastRenderedPageBreak/>
        <w:drawing>
          <wp:inline distT="0" distB="0" distL="0" distR="0" wp14:anchorId="509654BF" wp14:editId="323E14E7">
            <wp:extent cx="5753100" cy="10029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0040895"/>
                    </a:xfrm>
                    <a:prstGeom prst="rect">
                      <a:avLst/>
                    </a:prstGeom>
                    <a:noFill/>
                    <a:ln>
                      <a:noFill/>
                    </a:ln>
                  </pic:spPr>
                </pic:pic>
              </a:graphicData>
            </a:graphic>
          </wp:inline>
        </w:drawing>
      </w:r>
      <w:r w:rsidR="00C7434D">
        <w:rPr>
          <w:rFonts w:ascii="Arial" w:hAnsi="Arial" w:cs="Arial"/>
          <w:sz w:val="11"/>
          <w:szCs w:val="11"/>
        </w:rPr>
        <w:br w:type="page"/>
      </w:r>
    </w:p>
    <w:p w:rsidR="00A00ABC" w:rsidRPr="007B147D" w:rsidRDefault="00A00ABC" w:rsidP="00A00ABC">
      <w:pPr>
        <w:jc w:val="center"/>
        <w:rPr>
          <w:rFonts w:ascii="Arial" w:hAnsi="Arial" w:cs="Arial"/>
          <w:sz w:val="11"/>
          <w:szCs w:val="11"/>
        </w:rPr>
      </w:pPr>
    </w:p>
    <w:p w:rsidR="007B147D" w:rsidRPr="007B147D" w:rsidRDefault="007B147D">
      <w:pPr>
        <w:rPr>
          <w:rFonts w:ascii="Arial" w:hAnsi="Arial" w:cs="Arial"/>
          <w:sz w:val="11"/>
          <w:szCs w:val="11"/>
        </w:rPr>
      </w:pPr>
    </w:p>
    <w:p w:rsidR="00647D73" w:rsidRPr="007B147D" w:rsidRDefault="00647D73">
      <w:pPr>
        <w:rPr>
          <w:rFonts w:ascii="Arial" w:hAnsi="Arial" w:cs="Arial"/>
          <w:sz w:val="11"/>
          <w:szCs w:val="11"/>
        </w:rPr>
      </w:pPr>
    </w:p>
    <w:p w:rsidR="00647D73" w:rsidRPr="007B147D" w:rsidRDefault="00647D73" w:rsidP="00945293">
      <w:pPr>
        <w:rPr>
          <w:rFonts w:ascii="Arial" w:hAnsi="Arial" w:cs="Arial"/>
          <w:sz w:val="11"/>
          <w:szCs w:val="11"/>
        </w:rPr>
      </w:pPr>
    </w:p>
    <w:tbl>
      <w:tblPr>
        <w:tblW w:w="0" w:type="auto"/>
        <w:tblLayout w:type="fixed"/>
        <w:tblLook w:val="01E0" w:firstRow="1" w:lastRow="1" w:firstColumn="1" w:lastColumn="1" w:noHBand="0" w:noVBand="0"/>
      </w:tblPr>
      <w:tblGrid>
        <w:gridCol w:w="1819"/>
        <w:gridCol w:w="6158"/>
      </w:tblGrid>
      <w:tr w:rsidR="00AA5294" w:rsidRPr="002449DE" w:rsidTr="00676A74">
        <w:trPr>
          <w:trHeight w:val="1433"/>
        </w:trPr>
        <w:tc>
          <w:tcPr>
            <w:tcW w:w="1819" w:type="dxa"/>
          </w:tcPr>
          <w:p w:rsidR="00AA5294" w:rsidRPr="002449DE" w:rsidRDefault="00AA5294" w:rsidP="00676A74">
            <w:pPr>
              <w:rPr>
                <w:rFonts w:cs="Arial"/>
              </w:rPr>
            </w:pPr>
            <w:r>
              <w:rPr>
                <w:rFonts w:cs="Arial"/>
                <w:noProof/>
              </w:rPr>
              <w:drawing>
                <wp:inline distT="0" distB="0" distL="0" distR="0">
                  <wp:extent cx="1085850" cy="847725"/>
                  <wp:effectExtent l="0" t="0" r="0" b="9525"/>
                  <wp:docPr id="31" name="Picture 3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bildo de Tenerif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tc>
        <w:tc>
          <w:tcPr>
            <w:tcW w:w="6158" w:type="dxa"/>
          </w:tcPr>
          <w:p w:rsidR="00AA5294" w:rsidRPr="0013745D" w:rsidRDefault="00AA5294" w:rsidP="00676A74">
            <w:pPr>
              <w:pStyle w:val="Area"/>
              <w:tabs>
                <w:tab w:val="left" w:leader="dot" w:pos="4591"/>
              </w:tabs>
              <w:spacing w:before="240"/>
              <w:jc w:val="left"/>
              <w:rPr>
                <w:b/>
                <w:sz w:val="22"/>
                <w:szCs w:val="22"/>
              </w:rPr>
            </w:pPr>
            <w:r w:rsidRPr="0013745D">
              <w:rPr>
                <w:b/>
                <w:sz w:val="22"/>
                <w:szCs w:val="22"/>
              </w:rPr>
              <w:t>Área de Presidencia, Hacienda y Modernización</w:t>
            </w:r>
          </w:p>
          <w:p w:rsidR="00AA5294" w:rsidRPr="002449DE" w:rsidRDefault="00AA5294" w:rsidP="00676A74">
            <w:pPr>
              <w:pStyle w:val="Area"/>
              <w:tabs>
                <w:tab w:val="left" w:leader="dot" w:pos="4734"/>
              </w:tabs>
              <w:spacing w:before="240"/>
            </w:pPr>
            <w:r w:rsidRPr="0013745D">
              <w:rPr>
                <w:b/>
                <w:sz w:val="22"/>
                <w:szCs w:val="22"/>
              </w:rPr>
              <w:t>Dirección Insular de Hacienda</w:t>
            </w:r>
          </w:p>
        </w:tc>
      </w:tr>
    </w:tbl>
    <w:p w:rsidR="00AA5294" w:rsidRDefault="00AA5294" w:rsidP="00AA5294">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428"/>
      </w:tblGrid>
      <w:tr w:rsidR="00AA5294" w:rsidRPr="007D095A" w:rsidTr="00676A74">
        <w:trPr>
          <w:trHeight w:val="1261"/>
        </w:trPr>
        <w:tc>
          <w:tcPr>
            <w:tcW w:w="4231" w:type="pct"/>
            <w:shd w:val="clear" w:color="auto" w:fill="99CCFF"/>
            <w:vAlign w:val="center"/>
          </w:tcPr>
          <w:p w:rsidR="00AA5294" w:rsidRPr="00724476" w:rsidRDefault="00AA5294" w:rsidP="00676A74">
            <w:pPr>
              <w:jc w:val="center"/>
              <w:rPr>
                <w:rFonts w:cs="Arial"/>
                <w:b/>
                <w:bCs/>
                <w:sz w:val="22"/>
                <w:szCs w:val="22"/>
              </w:rPr>
            </w:pPr>
            <w:r w:rsidRPr="00EB7062">
              <w:rPr>
                <w:rFonts w:cs="Arial"/>
                <w:b/>
                <w:bCs/>
                <w:sz w:val="22"/>
                <w:szCs w:val="22"/>
              </w:rPr>
              <w:t>PRESUPUESTO GENERAL DEL CABILDO INSULAR DE TENERIFE</w:t>
            </w:r>
          </w:p>
        </w:tc>
        <w:tc>
          <w:tcPr>
            <w:tcW w:w="769" w:type="pct"/>
            <w:vMerge w:val="restart"/>
            <w:shd w:val="clear" w:color="auto" w:fill="99CCFF"/>
            <w:vAlign w:val="center"/>
          </w:tcPr>
          <w:p w:rsidR="00AA5294" w:rsidRPr="00EB7062" w:rsidRDefault="00AA5294" w:rsidP="00676A74">
            <w:pPr>
              <w:jc w:val="center"/>
              <w:rPr>
                <w:rFonts w:cs="Arial"/>
                <w:b/>
                <w:bCs/>
                <w:color w:val="000000"/>
                <w:sz w:val="22"/>
                <w:szCs w:val="22"/>
              </w:rPr>
            </w:pPr>
            <w:r>
              <w:rPr>
                <w:rFonts w:cs="Arial"/>
                <w:b/>
                <w:bCs/>
                <w:color w:val="000000"/>
                <w:sz w:val="22"/>
                <w:szCs w:val="22"/>
              </w:rPr>
              <w:t>2020</w:t>
            </w:r>
          </w:p>
        </w:tc>
      </w:tr>
      <w:tr w:rsidR="00AA5294" w:rsidRPr="007D095A" w:rsidTr="00676A74">
        <w:trPr>
          <w:trHeight w:val="428"/>
        </w:trPr>
        <w:tc>
          <w:tcPr>
            <w:tcW w:w="4231" w:type="pct"/>
            <w:shd w:val="clear" w:color="auto" w:fill="99CCFF"/>
            <w:vAlign w:val="center"/>
          </w:tcPr>
          <w:p w:rsidR="00AA5294" w:rsidRDefault="00AA5294" w:rsidP="00676A74">
            <w:pPr>
              <w:rPr>
                <w:rFonts w:cs="Arial"/>
                <w:b/>
                <w:sz w:val="22"/>
                <w:szCs w:val="22"/>
              </w:rPr>
            </w:pPr>
          </w:p>
          <w:p w:rsidR="00AA5294" w:rsidRDefault="00AD68C6" w:rsidP="00676A74">
            <w:pPr>
              <w:rPr>
                <w:rFonts w:cs="Arial"/>
                <w:b/>
                <w:sz w:val="22"/>
                <w:szCs w:val="22"/>
              </w:rPr>
            </w:pPr>
            <w:r>
              <w:rPr>
                <w:rFonts w:cs="Arial"/>
                <w:b/>
                <w:sz w:val="22"/>
                <w:szCs w:val="22"/>
              </w:rPr>
              <w:t>ENTIDAD: INSTITUTO VOLCANOLOGICO DE CANARIAS S.A.U.</w:t>
            </w:r>
            <w:bookmarkStart w:id="0" w:name="_GoBack"/>
            <w:bookmarkEnd w:id="0"/>
          </w:p>
          <w:p w:rsidR="00AA5294" w:rsidRPr="00EB7062" w:rsidRDefault="00AA5294" w:rsidP="00676A74">
            <w:pPr>
              <w:jc w:val="center"/>
              <w:rPr>
                <w:rFonts w:cs="Arial"/>
                <w:b/>
                <w:sz w:val="22"/>
                <w:szCs w:val="22"/>
              </w:rPr>
            </w:pPr>
          </w:p>
        </w:tc>
        <w:tc>
          <w:tcPr>
            <w:tcW w:w="769" w:type="pct"/>
            <w:vMerge/>
            <w:shd w:val="clear" w:color="auto" w:fill="99CCFF"/>
            <w:vAlign w:val="center"/>
          </w:tcPr>
          <w:p w:rsidR="00AA5294" w:rsidRPr="00EB7062" w:rsidRDefault="00AA5294" w:rsidP="00676A74">
            <w:pPr>
              <w:ind w:firstLine="33"/>
              <w:jc w:val="center"/>
              <w:rPr>
                <w:rFonts w:cs="Arial"/>
                <w:b/>
                <w:bCs/>
                <w:color w:val="000000"/>
                <w:sz w:val="22"/>
                <w:szCs w:val="22"/>
              </w:rPr>
            </w:pPr>
          </w:p>
        </w:tc>
      </w:tr>
      <w:tr w:rsidR="00AA5294" w:rsidRPr="007D095A" w:rsidTr="00676A74">
        <w:trPr>
          <w:trHeight w:val="428"/>
        </w:trPr>
        <w:tc>
          <w:tcPr>
            <w:tcW w:w="4231" w:type="pct"/>
            <w:shd w:val="clear" w:color="auto" w:fill="99CCFF"/>
            <w:vAlign w:val="center"/>
          </w:tcPr>
          <w:p w:rsidR="00AA5294" w:rsidRPr="00EB7062" w:rsidRDefault="00AA5294" w:rsidP="00676A74">
            <w:pPr>
              <w:jc w:val="center"/>
              <w:rPr>
                <w:rFonts w:cs="Arial"/>
                <w:b/>
                <w:bCs/>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w:t>
            </w:r>
            <w:r>
              <w:rPr>
                <w:rFonts w:cs="Arial"/>
                <w:b/>
                <w:sz w:val="22"/>
                <w:szCs w:val="22"/>
              </w:rPr>
              <w:t>EALIZAR DURANTE EL EJERCICIO</w:t>
            </w:r>
            <w:r>
              <w:rPr>
                <w:rFonts w:cs="Arial"/>
                <w:b/>
                <w:bCs/>
                <w:sz w:val="22"/>
                <w:szCs w:val="22"/>
              </w:rPr>
              <w:t xml:space="preserve"> </w:t>
            </w:r>
            <w:r>
              <w:rPr>
                <w:rFonts w:cs="Arial"/>
                <w:b/>
                <w:sz w:val="22"/>
                <w:szCs w:val="22"/>
              </w:rPr>
              <w:t>2020</w:t>
            </w:r>
          </w:p>
          <w:p w:rsidR="00AA5294" w:rsidRDefault="00AA5294" w:rsidP="00676A74">
            <w:pPr>
              <w:rPr>
                <w:rFonts w:cs="Arial"/>
                <w:b/>
                <w:sz w:val="22"/>
                <w:szCs w:val="22"/>
              </w:rPr>
            </w:pPr>
          </w:p>
        </w:tc>
        <w:tc>
          <w:tcPr>
            <w:tcW w:w="769" w:type="pct"/>
            <w:vMerge/>
            <w:shd w:val="clear" w:color="auto" w:fill="99CCFF"/>
            <w:vAlign w:val="center"/>
          </w:tcPr>
          <w:p w:rsidR="00AA5294" w:rsidRPr="00EB7062" w:rsidRDefault="00AA5294" w:rsidP="00676A74">
            <w:pPr>
              <w:ind w:firstLine="33"/>
              <w:jc w:val="center"/>
              <w:rPr>
                <w:rFonts w:cs="Arial"/>
                <w:b/>
                <w:bCs/>
                <w:color w:val="000000"/>
                <w:sz w:val="22"/>
                <w:szCs w:val="22"/>
              </w:rPr>
            </w:pPr>
          </w:p>
        </w:tc>
      </w:tr>
      <w:tr w:rsidR="00AA5294" w:rsidRPr="001323D6" w:rsidTr="00676A74">
        <w:trPr>
          <w:trHeight w:val="8444"/>
        </w:trPr>
        <w:tc>
          <w:tcPr>
            <w:tcW w:w="5000" w:type="pct"/>
            <w:gridSpan w:val="2"/>
          </w:tcPr>
          <w:p w:rsidR="00AA5294" w:rsidRDefault="00AA5294" w:rsidP="00676A74">
            <w:pPr>
              <w:rPr>
                <w:rFonts w:cs="Arial"/>
                <w:b/>
                <w:color w:val="FF0000"/>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Listado de proyectos de investigación con financiación externa en curso y que se desarrollarán en el ejercicio del 2020:</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w:t>
            </w:r>
            <w:r w:rsidRPr="00AA5294">
              <w:rPr>
                <w:rFonts w:eastAsia="MS Mincho"/>
                <w:b/>
                <w:bCs/>
                <w:sz w:val="16"/>
                <w:szCs w:val="16"/>
                <w:lang w:eastAsia="ja-JP"/>
              </w:rPr>
              <w:t xml:space="preserve"> OPTIMIZACIÓN DEL SISTEMA DE ALERTA TEMPRANA PARA LA VIGILANCIA VOLCÁNICA EN LA ISLA DE TENERIFE</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340.000,00 € (total) = 95.000,00 € (inversión) + 245.000,00 € (corriente)</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Tenerife Innova 2016-2021, Cabildo Insular de Tenerife (100%)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sz w:val="16"/>
                <w:szCs w:val="16"/>
                <w:lang w:eastAsia="ja-JP"/>
              </w:rPr>
              <w:t>INVOLCAN-</w:t>
            </w:r>
            <w:r w:rsidRPr="00AA5294">
              <w:rPr>
                <w:sz w:val="16"/>
                <w:szCs w:val="16"/>
              </w:rPr>
              <w:t>20-01</w:t>
            </w:r>
            <w:r w:rsidRPr="00AA5294">
              <w:rPr>
                <w:rFonts w:eastAsia="MS Mincho"/>
                <w:i/>
                <w:iCs/>
                <w:sz w:val="16"/>
                <w:szCs w:val="16"/>
                <w:lang w:eastAsia="ja-JP"/>
              </w:rPr>
              <w:t xml:space="preserve">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TFvolcano</w:t>
            </w:r>
            <w:proofErr w:type="spellEnd"/>
            <w:r w:rsidRPr="00AA5294">
              <w:rPr>
                <w:rFonts w:eastAsia="MS Mincho"/>
                <w:sz w:val="16"/>
                <w:szCs w:val="16"/>
                <w:lang w:eastAsia="ja-JP"/>
              </w:rPr>
              <w:t xml:space="preserve">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2017-2021</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AA5294">
              <w:rPr>
                <w:rFonts w:eastAsia="MS Mincho"/>
                <w:sz w:val="16"/>
                <w:szCs w:val="16"/>
                <w:lang w:eastAsia="ja-JP"/>
              </w:rPr>
              <w:t>permanentes como portátiles</w:t>
            </w:r>
            <w:proofErr w:type="gramEnd"/>
            <w:r w:rsidRPr="00AA5294">
              <w:rPr>
                <w:rFonts w:eastAsia="MS Mincho"/>
                <w:sz w:val="16"/>
                <w:szCs w:val="16"/>
                <w:lang w:eastAsia="ja-JP"/>
              </w:rPr>
              <w:t xml:space="preserve"> es fundamental para contribuir a la reducción del riesgo volcánico de Tenerife. </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Proyecto #2. </w:t>
            </w:r>
            <w:r w:rsidRPr="00AA5294">
              <w:rPr>
                <w:rFonts w:eastAsia="MS Mincho"/>
                <w:b/>
                <w:bCs/>
                <w:sz w:val="16"/>
                <w:szCs w:val="16"/>
                <w:lang w:eastAsia="ja-JP"/>
              </w:rPr>
              <w:t>PLANETA VIVO RADIO</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30.000,00 € (corriente)</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RNE en Canarias (10.400 €), INVOLCAN (12.600 €), </w:t>
            </w:r>
            <w:proofErr w:type="spellStart"/>
            <w:r w:rsidRPr="00AA5294">
              <w:rPr>
                <w:rFonts w:eastAsia="MS Mincho"/>
                <w:sz w:val="16"/>
                <w:szCs w:val="16"/>
                <w:lang w:eastAsia="ja-JP"/>
              </w:rPr>
              <w:t>Intech</w:t>
            </w:r>
            <w:proofErr w:type="spellEnd"/>
            <w:r w:rsidRPr="00AA5294">
              <w:rPr>
                <w:rFonts w:eastAsia="MS Mincho"/>
                <w:sz w:val="16"/>
                <w:szCs w:val="16"/>
                <w:lang w:eastAsia="ja-JP"/>
              </w:rPr>
              <w:t xml:space="preserve"> Tenerife (7.000 €)</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Referencia:</w:t>
            </w:r>
            <w:r w:rsidRPr="00AA5294">
              <w:rPr>
                <w:rFonts w:eastAsia="MS Mincho"/>
                <w:sz w:val="16"/>
                <w:szCs w:val="16"/>
                <w:lang w:eastAsia="ja-JP"/>
              </w:rPr>
              <w:t xml:space="preserve"> INVOLCAN-</w:t>
            </w:r>
            <w:r w:rsidRPr="00AA5294">
              <w:rPr>
                <w:sz w:val="16"/>
                <w:szCs w:val="16"/>
              </w:rPr>
              <w:t>20-02</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RADIO2020</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Desde el año 2008 hasta la actualidad</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David Calvo &amp; Dr. Nemesio M. Pérez</w:t>
            </w:r>
            <w:r w:rsidRPr="00AA5294">
              <w:rPr>
                <w:rFonts w:eastAsia="MS Mincho"/>
                <w:sz w:val="16"/>
                <w:szCs w:val="16"/>
                <w:lang w:eastAsia="ja-JP"/>
              </w:rPr>
              <w:tab/>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PLANETA VIVO RADIO es un programa de Radio Nacional de España (RNE) en Canarias y el Instituto Volcanológico de Canarias (INVOLCAN) dedicado a la divulgación científica y tecnológica relacionada con el Planeta Tierra. Esta iniciativa nació en un año muy especial (2008), el Año Internacional del Planeta Tierra, y pretende contribuir a la difusión y el cumplimiento de los objetivos de esta importante declaración internacional proclamada por la Asamblea General de las Naciones Unidas en su sesión plenaria del 22 de Diciembre de 2005. El objetivo principal de esta declaración es concienciar a la sociedad de la relación existente entre Humanidad y Planeta Tierra, y resaltar la importancia que las Ciencias de la Tierra tienen en la consecución de un futuro equilibrado y sostenible que aumente la calidad de vida y salvaguarde la dinámica planetaria. PLANETA VIVO RADIO se emite semanalmente a través de Radio5 para toda Canarias y a través de Radio Exterior de España para todo el mundo.</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Proyecto #3. </w:t>
            </w:r>
            <w:r w:rsidRPr="00AA5294">
              <w:rPr>
                <w:rFonts w:eastAsia="MS Mincho"/>
                <w:b/>
                <w:sz w:val="16"/>
                <w:szCs w:val="16"/>
                <w:lang w:eastAsia="ja-JP"/>
              </w:rPr>
              <w:t xml:space="preserve">LA FERIA DE LA CIENCIA &amp; LOS VOLCANES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16.000,00 € (corriente)</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Tenerife Innova 2016-2021, Cabildo Insular de Tenerife (100%)</w:t>
            </w:r>
            <w:r w:rsidRPr="00AA5294">
              <w:rPr>
                <w:rFonts w:eastAsia="MS Mincho"/>
                <w:i/>
                <w:iCs/>
                <w:sz w:val="16"/>
                <w:szCs w:val="16"/>
                <w:lang w:eastAsia="ja-JP"/>
              </w:rPr>
              <w:t xml:space="preserve"> </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Referencia:</w:t>
            </w:r>
            <w:r w:rsidRPr="00AA5294">
              <w:rPr>
                <w:rFonts w:eastAsia="MS Mincho"/>
                <w:sz w:val="16"/>
                <w:szCs w:val="16"/>
                <w:lang w:eastAsia="ja-JP"/>
              </w:rPr>
              <w:t xml:space="preserve"> INVOLCAN-</w:t>
            </w:r>
            <w:r w:rsidRPr="00AA5294">
              <w:rPr>
                <w:sz w:val="16"/>
                <w:szCs w:val="16"/>
              </w:rPr>
              <w:t>20-03</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TFferia</w:t>
            </w:r>
            <w:proofErr w:type="spellEnd"/>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2016-2021</w:t>
            </w: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i/>
                <w:iCs/>
                <w:sz w:val="16"/>
                <w:szCs w:val="16"/>
                <w:lang w:eastAsia="ja-JP"/>
              </w:rPr>
              <w:t xml:space="preserve">                            Investigadores Principales:</w:t>
            </w:r>
            <w:r w:rsidRPr="00AA5294">
              <w:rPr>
                <w:rFonts w:eastAsia="MS Mincho"/>
                <w:sz w:val="16"/>
                <w:szCs w:val="16"/>
                <w:lang w:eastAsia="ja-JP"/>
              </w:rPr>
              <w:t xml:space="preserve"> Dr. Pedro A. Hernández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9026F6"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LA FERIA DE LA CIENCIA &amp; LOS VOLCANES son actividades destinadas a acercar la ciencia relacionada con el fenómeno volcánico al público general, especialmente los escolares. LA FERIA DE LA CIENCIA &amp; LOS VOLCANES es un congreso o reunión científica dónde los alumnas/os de 4º de la ESO, 1º y 2º de Bachillerato de todos los centros educativos de Tenerife que lo deseen pueden aprender y jugar a </w:t>
            </w:r>
          </w:p>
          <w:p w:rsidR="009026F6" w:rsidRDefault="009026F6"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roofErr w:type="gramStart"/>
            <w:r w:rsidRPr="00AA5294">
              <w:rPr>
                <w:rFonts w:eastAsia="MS Mincho"/>
                <w:sz w:val="16"/>
                <w:szCs w:val="16"/>
                <w:lang w:eastAsia="ja-JP"/>
              </w:rPr>
              <w:t>ser</w:t>
            </w:r>
            <w:proofErr w:type="gramEnd"/>
            <w:r w:rsidRPr="00AA5294">
              <w:rPr>
                <w:rFonts w:eastAsia="MS Mincho"/>
                <w:sz w:val="16"/>
                <w:szCs w:val="16"/>
                <w:lang w:eastAsia="ja-JP"/>
              </w:rPr>
              <w:t xml:space="preserve">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Proyecto #4. </w:t>
            </w:r>
            <w:r w:rsidRPr="00AA5294">
              <w:rPr>
                <w:rFonts w:eastAsia="MS Mincho"/>
                <w:b/>
                <w:sz w:val="16"/>
                <w:szCs w:val="16"/>
                <w:lang w:eastAsia="ja-JP"/>
              </w:rPr>
              <w:t>TENERIFE VOLCANO DISASTER ASSISTANCE TEAM</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60.000,00 € (corriente)</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Tenerife Innova 2016-2021, Cabildo Insular de Tenerife (100%)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Referencia:</w:t>
            </w:r>
            <w:r w:rsidRPr="00AA5294">
              <w:rPr>
                <w:rFonts w:eastAsia="MS Mincho"/>
                <w:sz w:val="16"/>
                <w:szCs w:val="16"/>
                <w:lang w:eastAsia="ja-JP"/>
              </w:rPr>
              <w:t xml:space="preserve"> INVOLCAN-</w:t>
            </w:r>
            <w:r w:rsidRPr="00AA5294">
              <w:rPr>
                <w:sz w:val="16"/>
                <w:szCs w:val="16"/>
              </w:rPr>
              <w:t>20-04</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TFassistance</w:t>
            </w:r>
            <w:proofErr w:type="spellEnd"/>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2016-2021</w:t>
            </w: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i/>
                <w:iCs/>
                <w:sz w:val="16"/>
                <w:szCs w:val="16"/>
                <w:lang w:eastAsia="ja-JP"/>
              </w:rPr>
              <w:t xml:space="preserve">                            Investigadores Principales:</w:t>
            </w:r>
            <w:r w:rsidRPr="00AA5294">
              <w:rPr>
                <w:rFonts w:eastAsia="MS Mincho"/>
                <w:sz w:val="16"/>
                <w:szCs w:val="16"/>
                <w:lang w:eastAsia="ja-JP"/>
              </w:rPr>
              <w:t xml:space="preserve"> Dr. Pedro A. Hernández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w:t>
            </w:r>
            <w:proofErr w:type="spellStart"/>
            <w:r w:rsidRPr="00AA5294">
              <w:rPr>
                <w:rFonts w:eastAsia="MS Mincho"/>
                <w:sz w:val="16"/>
                <w:szCs w:val="16"/>
                <w:lang w:eastAsia="ja-JP"/>
              </w:rPr>
              <w:t>sismovolcánicas</w:t>
            </w:r>
            <w:proofErr w:type="spellEnd"/>
            <w:r w:rsidRPr="00AA5294">
              <w:rPr>
                <w:rFonts w:eastAsia="MS Mincho"/>
                <w:sz w:val="16"/>
                <w:szCs w:val="16"/>
                <w:lang w:eastAsia="ja-JP"/>
              </w:rPr>
              <w:t xml:space="preserve"> y erupciones volcánicas como la recientemente ocurrida en la Isla de </w:t>
            </w:r>
            <w:proofErr w:type="spellStart"/>
            <w:r w:rsidRPr="00AA5294">
              <w:rPr>
                <w:rFonts w:eastAsia="MS Mincho"/>
                <w:sz w:val="16"/>
                <w:szCs w:val="16"/>
                <w:lang w:eastAsia="ja-JP"/>
              </w:rPr>
              <w:t>Fogo</w:t>
            </w:r>
            <w:proofErr w:type="spellEnd"/>
            <w:r w:rsidRPr="00AA5294">
              <w:rPr>
                <w:rFonts w:eastAsia="MS Mincho"/>
                <w:sz w:val="16"/>
                <w:szCs w:val="16"/>
                <w:lang w:eastAsia="ja-JP"/>
              </w:rPr>
              <w:t xml:space="preserve">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existentes en Tenerife y asistir a conferencias internacionales dónde se presentaría los resultados de este trabajo.</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#5.</w:t>
            </w:r>
            <w:r w:rsidRPr="00AA5294">
              <w:rPr>
                <w:rFonts w:eastAsia="MS Mincho"/>
                <w:b/>
                <w:bCs/>
                <w:sz w:val="16"/>
                <w:szCs w:val="16"/>
                <w:lang w:eastAsia="ja-JP"/>
              </w:rPr>
              <w:t xml:space="preserve"> FORTALECIMIENTO DEL TEJIDO ECONÓMICO Y EMPRESARIAL LIGADO AL SECTOR TURÍSTICO DE TENERIFE MEDIANTE LA POTENCIACIÓN DEL VOLCANO TURISMO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Presupuesto: </w:t>
            </w:r>
            <w:r w:rsidRPr="00AA5294">
              <w:rPr>
                <w:rFonts w:eastAsia="MS Mincho"/>
                <w:iCs/>
                <w:sz w:val="16"/>
                <w:szCs w:val="16"/>
                <w:lang w:eastAsia="ja-JP"/>
              </w:rPr>
              <w:t>50.000,00 € (corriente)</w:t>
            </w: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Financiación: </w:t>
            </w:r>
            <w:r w:rsidRPr="00AA5294">
              <w:rPr>
                <w:rFonts w:eastAsia="MS Mincho"/>
                <w:iCs/>
                <w:sz w:val="16"/>
                <w:szCs w:val="16"/>
                <w:lang w:eastAsia="ja-JP"/>
              </w:rPr>
              <w:t xml:space="preserve">Programa Tenerife Innova 2016-2021, </w:t>
            </w:r>
            <w:r w:rsidRPr="00AA5294">
              <w:rPr>
                <w:rFonts w:eastAsia="MS Mincho"/>
                <w:sz w:val="16"/>
                <w:szCs w:val="16"/>
                <w:lang w:eastAsia="ja-JP"/>
              </w:rPr>
              <w:t>Cabildo Insular de Tenerife (100%)</w:t>
            </w: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INVOLCAN-20-05</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Acrónimo: </w:t>
            </w:r>
            <w:proofErr w:type="spellStart"/>
            <w:r w:rsidRPr="00AA5294">
              <w:rPr>
                <w:rFonts w:eastAsia="MS Mincho"/>
                <w:iCs/>
                <w:sz w:val="16"/>
                <w:szCs w:val="16"/>
                <w:lang w:eastAsia="ja-JP"/>
              </w:rPr>
              <w:t>TFgeoturismo</w:t>
            </w:r>
            <w:proofErr w:type="spellEnd"/>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Duración: </w:t>
            </w:r>
            <w:r w:rsidRPr="00AA5294">
              <w:rPr>
                <w:rFonts w:eastAsia="MS Mincho"/>
                <w:iCs/>
                <w:sz w:val="16"/>
                <w:szCs w:val="16"/>
                <w:lang w:eastAsia="ja-JP"/>
              </w:rPr>
              <w:t>2017-2021</w:t>
            </w:r>
          </w:p>
          <w:p w:rsidR="00AA5294" w:rsidRPr="00AA5294" w:rsidRDefault="00AA5294" w:rsidP="00AA5294">
            <w:pPr>
              <w:autoSpaceDE w:val="0"/>
              <w:autoSpaceDN w:val="0"/>
              <w:adjustRightInd w:val="0"/>
              <w:jc w:val="both"/>
              <w:rPr>
                <w:rFonts w:eastAsia="MS Mincho"/>
                <w:iCs/>
                <w:sz w:val="16"/>
                <w:szCs w:val="16"/>
                <w:lang w:eastAsia="ja-JP"/>
              </w:rPr>
            </w:pPr>
            <w:r w:rsidRPr="00AA5294">
              <w:rPr>
                <w:rFonts w:eastAsia="MS Mincho"/>
                <w:i/>
                <w:iCs/>
                <w:sz w:val="16"/>
                <w:szCs w:val="16"/>
                <w:lang w:eastAsia="ja-JP"/>
              </w:rPr>
              <w:t xml:space="preserve">                            Investigadores Principales: </w:t>
            </w:r>
            <w:r w:rsidRPr="00AA5294">
              <w:rPr>
                <w:rFonts w:eastAsia="MS Mincho"/>
                <w:iCs/>
                <w:sz w:val="16"/>
                <w:szCs w:val="16"/>
                <w:lang w:eastAsia="ja-JP"/>
              </w:rPr>
              <w:t xml:space="preserve">Dr. Javier </w:t>
            </w:r>
            <w:proofErr w:type="spellStart"/>
            <w:r w:rsidRPr="00AA5294">
              <w:rPr>
                <w:rFonts w:eastAsia="MS Mincho"/>
                <w:iCs/>
                <w:sz w:val="16"/>
                <w:szCs w:val="16"/>
                <w:lang w:eastAsia="ja-JP"/>
              </w:rPr>
              <w:t>Dóniz</w:t>
            </w:r>
            <w:proofErr w:type="spellEnd"/>
            <w:r w:rsidRPr="00AA5294">
              <w:rPr>
                <w:rFonts w:eastAsia="MS Mincho"/>
                <w:iCs/>
                <w:sz w:val="16"/>
                <w:szCs w:val="16"/>
                <w:lang w:eastAsia="ja-JP"/>
              </w:rPr>
              <w:t xml:space="preserve"> &amp; Dr. Nemesio M. Pérez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La naturaleza volcánica de Tenerife es y será siempre un importante reclamo turístico como consecuencia de (i) la gran belleza paisajística que impregnan sus territorios volcánicos, (ii) la posibilidad de experimentar de cerca la fuerza de la naturaleza, (iii) la riqueza cultural y espiritual de sus comunidades como consecuencia de su convivencia con la actividad volcánica durante siglos, y (iv)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w:t>
            </w:r>
            <w:proofErr w:type="spellStart"/>
            <w:r w:rsidRPr="00AA5294">
              <w:rPr>
                <w:rFonts w:eastAsia="MS Mincho"/>
                <w:sz w:val="16"/>
                <w:szCs w:val="16"/>
                <w:lang w:eastAsia="ja-JP"/>
              </w:rPr>
              <w:t>volcano</w:t>
            </w:r>
            <w:proofErr w:type="spellEnd"/>
            <w:r w:rsidRPr="00AA5294">
              <w:rPr>
                <w:rFonts w:eastAsia="MS Mincho"/>
                <w:sz w:val="16"/>
                <w:szCs w:val="16"/>
                <w:lang w:eastAsia="ja-JP"/>
              </w:rPr>
              <w:t xml:space="preserve">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#6.</w:t>
            </w:r>
            <w:r w:rsidRPr="00AA5294">
              <w:rPr>
                <w:rFonts w:eastAsia="MS Mincho"/>
                <w:b/>
                <w:bCs/>
                <w:sz w:val="16"/>
                <w:szCs w:val="16"/>
                <w:lang w:eastAsia="ja-JP"/>
              </w:rPr>
              <w:t xml:space="preserve"> FORTALECIMIENTO DE LA RESILIENCIA DE LOS MUNICIPIOS DE TENERIFE FRENTE AL RIESGO VOLCÁNICO</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Presupuesto: </w:t>
            </w:r>
            <w:r w:rsidRPr="00AA5294">
              <w:rPr>
                <w:rFonts w:eastAsia="MS Mincho"/>
                <w:iCs/>
                <w:sz w:val="16"/>
                <w:szCs w:val="16"/>
                <w:lang w:eastAsia="ja-JP"/>
              </w:rPr>
              <w:t>41.000,00 € (corriente)</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Financiación: </w:t>
            </w:r>
            <w:r w:rsidRPr="00AA5294">
              <w:rPr>
                <w:rFonts w:eastAsia="MS Mincho"/>
                <w:iCs/>
                <w:sz w:val="16"/>
                <w:szCs w:val="16"/>
                <w:lang w:eastAsia="ja-JP"/>
              </w:rPr>
              <w:t xml:space="preserve">Programa Tenerife Innova 2016-2021, </w:t>
            </w:r>
            <w:r w:rsidRPr="00AA5294">
              <w:rPr>
                <w:rFonts w:eastAsia="MS Mincho"/>
                <w:sz w:val="16"/>
                <w:szCs w:val="16"/>
                <w:lang w:eastAsia="ja-JP"/>
              </w:rPr>
              <w:t>Cabildo Insular de Tenerife (100%)</w:t>
            </w: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INVOLCAN-20-06</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Acrónimo: </w:t>
            </w:r>
            <w:proofErr w:type="spellStart"/>
            <w:r w:rsidRPr="00AA5294">
              <w:rPr>
                <w:rFonts w:eastAsia="MS Mincho"/>
                <w:iCs/>
                <w:sz w:val="16"/>
                <w:szCs w:val="16"/>
                <w:lang w:eastAsia="ja-JP"/>
              </w:rPr>
              <w:t>TFresiliencia</w:t>
            </w:r>
            <w:proofErr w:type="spellEnd"/>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Duración: </w:t>
            </w:r>
            <w:r w:rsidRPr="00AA5294">
              <w:rPr>
                <w:rFonts w:eastAsia="MS Mincho"/>
                <w:iCs/>
                <w:sz w:val="16"/>
                <w:szCs w:val="16"/>
                <w:lang w:eastAsia="ja-JP"/>
              </w:rPr>
              <w:t>2017-2021</w:t>
            </w:r>
          </w:p>
          <w:p w:rsidR="00AA5294" w:rsidRPr="00AA5294" w:rsidRDefault="00AA5294" w:rsidP="00AA5294">
            <w:pPr>
              <w:autoSpaceDE w:val="0"/>
              <w:autoSpaceDN w:val="0"/>
              <w:adjustRightInd w:val="0"/>
              <w:jc w:val="both"/>
              <w:rPr>
                <w:rFonts w:eastAsia="MS Mincho"/>
                <w:i/>
                <w:iCs/>
                <w:sz w:val="16"/>
                <w:szCs w:val="16"/>
                <w:lang w:eastAsia="ja-JP"/>
              </w:rPr>
            </w:pPr>
            <w:r w:rsidRPr="00AA5294">
              <w:rPr>
                <w:rFonts w:eastAsia="MS Mincho"/>
                <w:i/>
                <w:iCs/>
                <w:sz w:val="16"/>
                <w:szCs w:val="16"/>
                <w:lang w:eastAsia="ja-JP"/>
              </w:rPr>
              <w:t xml:space="preserve">                             Investigadores Principales: </w:t>
            </w:r>
            <w:r w:rsidRPr="00AA5294">
              <w:rPr>
                <w:rFonts w:eastAsia="MS Mincho"/>
                <w:iCs/>
                <w:sz w:val="16"/>
                <w:szCs w:val="16"/>
                <w:lang w:eastAsia="ja-JP"/>
              </w:rPr>
              <w:t xml:space="preserve">Dra. Fátima Rodríguez &amp; Dr. Nemesio M. Pérez </w:t>
            </w: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Muchas son las razones de un alcalde o de un municipio para dar prioridad a la resiliencia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w:t>
            </w:r>
            <w:proofErr w:type="spellStart"/>
            <w:r w:rsidRPr="00AA5294">
              <w:rPr>
                <w:rFonts w:eastAsia="MS Mincho"/>
                <w:sz w:val="16"/>
                <w:szCs w:val="16"/>
                <w:lang w:eastAsia="ja-JP"/>
              </w:rPr>
              <w:t>resilientes</w:t>
            </w:r>
            <w:proofErr w:type="spellEnd"/>
            <w:r w:rsidRPr="00AA5294">
              <w:rPr>
                <w:rFonts w:eastAsia="MS Mincho"/>
                <w:sz w:val="16"/>
                <w:szCs w:val="16"/>
                <w:lang w:eastAsia="ja-JP"/>
              </w:rPr>
              <w:t xml:space="preserve"> a desastres, es fundamental la educación y la concienciación pública; uno de los Diez Aspectos Esenciales para lograr comunidades </w:t>
            </w:r>
            <w:proofErr w:type="spellStart"/>
            <w:r w:rsidRPr="00AA5294">
              <w:rPr>
                <w:rFonts w:eastAsia="MS Mincho"/>
                <w:sz w:val="16"/>
                <w:szCs w:val="16"/>
                <w:lang w:eastAsia="ja-JP"/>
              </w:rPr>
              <w:t>resilientes</w:t>
            </w:r>
            <w:proofErr w:type="spellEnd"/>
            <w:r w:rsidRPr="00AA5294">
              <w:rPr>
                <w:rFonts w:eastAsia="MS Mincho"/>
                <w:sz w:val="16"/>
                <w:szCs w:val="16"/>
                <w:lang w:eastAsia="ja-JP"/>
              </w:rPr>
              <w:t>.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 El objetivo final de este proyecto es contribuir a que los ciudadanos de Tenerife constituyan una comunidad mejor informada  y organizada ante el riesgo volcánico con el objeto de llegar a ser mucho menos vulnerables que lo sería una comunidad que no conoce o ignora las amenazas volcánicas que la rodean, y no se organiza para responder a ellas.</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Proyecto #7.</w:t>
            </w:r>
            <w:r w:rsidRPr="00AA5294">
              <w:rPr>
                <w:rFonts w:eastAsia="MS Mincho"/>
                <w:b/>
                <w:bCs/>
                <w:sz w:val="16"/>
                <w:szCs w:val="16"/>
                <w:lang w:eastAsia="ja-JP"/>
              </w:rPr>
              <w:t xml:space="preserve"> EVALUACIÓN DEL POTENCIAL GEOTÉRMICO DE GRAN CANARIA (1ª fase) </w:t>
            </w:r>
          </w:p>
          <w:p w:rsidR="00AA5294" w:rsidRPr="00AA5294" w:rsidRDefault="00AA5294" w:rsidP="00AA5294">
            <w:pPr>
              <w:jc w:val="both"/>
              <w:rPr>
                <w:rFonts w:eastAsia="MS Mincho"/>
                <w:sz w:val="16"/>
                <w:szCs w:val="16"/>
                <w:lang w:eastAsia="ja-JP"/>
              </w:rPr>
            </w:pP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535.000,00 € (total); 64.148,03 € (año 2020)</w:t>
            </w: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Cabildo Insular de Gran Canaria (435.000,00 €) &amp; INVOLCAN (100.000,00 €)</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Referencia:</w:t>
            </w:r>
            <w:r w:rsidRPr="00AA5294">
              <w:rPr>
                <w:rFonts w:ascii="Times New Roman" w:hAnsi="Times New Roman" w:cs="Times New Roman"/>
                <w:sz w:val="16"/>
                <w:szCs w:val="16"/>
                <w:lang w:val="es-ES"/>
              </w:rPr>
              <w:t xml:space="preserve"> </w:t>
            </w:r>
            <w:r w:rsidRPr="00AA5294">
              <w:rPr>
                <w:rFonts w:ascii="Times New Roman" w:hAnsi="Times New Roman" w:cs="Times New Roman"/>
                <w:sz w:val="16"/>
                <w:szCs w:val="16"/>
              </w:rPr>
              <w:t>INVOLCAN-20-07</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Acrónimo:</w:t>
            </w:r>
            <w:r w:rsidRPr="00AA5294">
              <w:rPr>
                <w:rFonts w:ascii="Times New Roman" w:hAnsi="Times New Roman" w:cs="Times New Roman"/>
                <w:sz w:val="16"/>
                <w:szCs w:val="16"/>
                <w:lang w:val="es-ES"/>
              </w:rPr>
              <w:t xml:space="preserve"> </w:t>
            </w:r>
            <w:r w:rsidRPr="00AA5294">
              <w:rPr>
                <w:rFonts w:ascii="Times New Roman" w:hAnsi="Times New Roman" w:cs="Times New Roman"/>
                <w:iCs/>
                <w:sz w:val="16"/>
                <w:szCs w:val="16"/>
              </w:rPr>
              <w:t>GC_geotermia_01</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Duración:</w:t>
            </w:r>
            <w:r w:rsidRPr="00AA5294">
              <w:rPr>
                <w:rFonts w:ascii="Times New Roman" w:hAnsi="Times New Roman" w:cs="Times New Roman"/>
                <w:sz w:val="16"/>
                <w:szCs w:val="16"/>
                <w:lang w:val="es-ES"/>
              </w:rPr>
              <w:t xml:space="preserve"> 2017-2020</w:t>
            </w:r>
          </w:p>
          <w:p w:rsidR="00AA5294" w:rsidRPr="00AA5294" w:rsidRDefault="00AA5294" w:rsidP="00AA5294">
            <w:pPr>
              <w:jc w:val="both"/>
              <w:rPr>
                <w:rFonts w:eastAsia="MS Mincho"/>
                <w:sz w:val="16"/>
                <w:szCs w:val="16"/>
                <w:lang w:eastAsia="ja-JP"/>
              </w:rPr>
            </w:pPr>
            <w:r w:rsidRPr="00AA5294">
              <w:rPr>
                <w:rFonts w:eastAsia="MS Mincho"/>
                <w:i/>
                <w:iCs/>
                <w:sz w:val="16"/>
                <w:szCs w:val="16"/>
                <w:lang w:eastAsia="ja-JP"/>
              </w:rPr>
              <w:t xml:space="preserve">                            Investigadores Principales: </w:t>
            </w:r>
            <w:r w:rsidRPr="00AA5294">
              <w:rPr>
                <w:rFonts w:eastAsia="MS Mincho"/>
                <w:iCs/>
                <w:sz w:val="16"/>
                <w:szCs w:val="16"/>
                <w:lang w:eastAsia="ja-JP"/>
              </w:rPr>
              <w:t>Dr. José F. Albert &amp; Dr. Nemesio M. Pérez</w:t>
            </w:r>
            <w:r w:rsidRPr="00AA5294">
              <w:rPr>
                <w:rFonts w:eastAsia="MS Mincho"/>
                <w:i/>
                <w:iCs/>
                <w:sz w:val="16"/>
                <w:szCs w:val="16"/>
                <w:lang w:eastAsia="ja-JP"/>
              </w:rPr>
              <w:t xml:space="preserve"> </w:t>
            </w:r>
          </w:p>
          <w:p w:rsidR="00AA5294" w:rsidRPr="00AA5294" w:rsidRDefault="00AA5294" w:rsidP="00AA5294">
            <w:pPr>
              <w:jc w:val="both"/>
              <w:rPr>
                <w:rFonts w:eastAsia="MS Mincho"/>
                <w:sz w:val="16"/>
                <w:szCs w:val="16"/>
                <w:lang w:eastAsia="ja-JP"/>
              </w:rPr>
            </w:pPr>
          </w:p>
          <w:p w:rsidR="009026F6" w:rsidRDefault="009026F6"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Dentro del marco de este proyecto se pretende desarrollar la primera fase de un trabajo de investigación cuya la finalidad es la de evaluar el potencial geotérmico de Gran Canaria para la generación de energía eléctrica. Para ello se realizan estudios de geoquímica y geofísica para la exploración geotérmica en superficie.</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Proyecto #8.</w:t>
            </w:r>
            <w:r w:rsidRPr="00AA5294">
              <w:rPr>
                <w:rFonts w:eastAsia="MS Mincho"/>
                <w:b/>
                <w:bCs/>
                <w:sz w:val="16"/>
                <w:szCs w:val="16"/>
                <w:lang w:eastAsia="ja-JP"/>
              </w:rPr>
              <w:t xml:space="preserve"> EVALUACIÓN DEL POTENCIAL GEOTÉRMICO DE LA PALMA (1ª fase)</w:t>
            </w:r>
          </w:p>
          <w:p w:rsidR="00AA5294" w:rsidRPr="00AA5294" w:rsidRDefault="00AA5294" w:rsidP="00AA5294">
            <w:pPr>
              <w:jc w:val="both"/>
              <w:rPr>
                <w:rFonts w:eastAsia="MS Mincho"/>
                <w:sz w:val="16"/>
                <w:szCs w:val="16"/>
                <w:lang w:eastAsia="ja-JP"/>
              </w:rPr>
            </w:pP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300.000,00 € (total);150.000,00 € (año 2020)</w:t>
            </w: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Cabildo Insular de La Palma (100%)</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Referencia:</w:t>
            </w:r>
            <w:r w:rsidRPr="00AA5294">
              <w:rPr>
                <w:rFonts w:ascii="Times New Roman" w:hAnsi="Times New Roman" w:cs="Times New Roman"/>
                <w:sz w:val="16"/>
                <w:szCs w:val="16"/>
                <w:lang w:val="es-ES"/>
              </w:rPr>
              <w:t xml:space="preserve"> </w:t>
            </w:r>
            <w:r w:rsidRPr="00AA5294">
              <w:rPr>
                <w:rFonts w:ascii="Times New Roman" w:hAnsi="Times New Roman" w:cs="Times New Roman"/>
                <w:sz w:val="16"/>
                <w:szCs w:val="16"/>
              </w:rPr>
              <w:t>INVOLCAN-20-08</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Acrónimo:</w:t>
            </w:r>
            <w:r w:rsidRPr="00AA5294">
              <w:rPr>
                <w:rFonts w:ascii="Times New Roman" w:hAnsi="Times New Roman" w:cs="Times New Roman"/>
                <w:sz w:val="16"/>
                <w:szCs w:val="16"/>
                <w:lang w:val="es-ES"/>
              </w:rPr>
              <w:t xml:space="preserve"> LP_geotermia_01</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Duración:</w:t>
            </w:r>
            <w:r w:rsidRPr="00AA5294">
              <w:rPr>
                <w:rFonts w:ascii="Times New Roman" w:hAnsi="Times New Roman" w:cs="Times New Roman"/>
                <w:sz w:val="16"/>
                <w:szCs w:val="16"/>
                <w:lang w:val="es-ES"/>
              </w:rPr>
              <w:t xml:space="preserve"> 2018-2019-2020</w:t>
            </w:r>
          </w:p>
          <w:p w:rsidR="00AA5294" w:rsidRPr="00AA5294" w:rsidRDefault="00AA5294" w:rsidP="00AA5294">
            <w:pPr>
              <w:jc w:val="both"/>
              <w:rPr>
                <w:rFonts w:eastAsia="MS Mincho"/>
                <w:sz w:val="16"/>
                <w:szCs w:val="16"/>
                <w:lang w:eastAsia="ja-JP"/>
              </w:rPr>
            </w:pPr>
            <w:r w:rsidRPr="00AA5294">
              <w:rPr>
                <w:rFonts w:eastAsia="MS Mincho"/>
                <w:i/>
                <w:iCs/>
                <w:sz w:val="16"/>
                <w:szCs w:val="16"/>
                <w:lang w:eastAsia="ja-JP"/>
              </w:rPr>
              <w:t xml:space="preserve">                            Investigadores Principales: </w:t>
            </w:r>
            <w:r w:rsidRPr="00AA5294">
              <w:rPr>
                <w:rFonts w:eastAsia="MS Mincho"/>
                <w:iCs/>
                <w:sz w:val="16"/>
                <w:szCs w:val="16"/>
                <w:lang w:eastAsia="ja-JP"/>
              </w:rPr>
              <w:t>Dr. José F. Albert &amp; Dr. Nemesio M. Pérez</w:t>
            </w:r>
            <w:r w:rsidRPr="00AA5294">
              <w:rPr>
                <w:rFonts w:eastAsia="MS Mincho"/>
                <w:i/>
                <w:iCs/>
                <w:sz w:val="16"/>
                <w:szCs w:val="16"/>
                <w:lang w:eastAsia="ja-JP"/>
              </w:rPr>
              <w:t xml:space="preserve"> </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Dentro del marco de este proyecto se pretende desarrollar la primera fase de un trabajo de investigación la finalidad es la de evaluar el potencial geotérmico de La Palma para la generación de energía eléctrica. Para ello se realizan estudios de geoquímica y geofísica para la exploración geotérmica en superficie.</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#9.</w:t>
            </w:r>
            <w:r w:rsidRPr="00AA5294">
              <w:rPr>
                <w:rFonts w:eastAsia="MS Mincho"/>
                <w:b/>
                <w:bCs/>
                <w:sz w:val="16"/>
                <w:szCs w:val="16"/>
                <w:lang w:eastAsia="ja-JP"/>
              </w:rPr>
              <w:t xml:space="preserve"> FORTALECIMIENTO DE LAS CAPACIDADES DE I+D+I PARA LA MONITORIZACIÓN DE LA ACTIVIDAD VOLCÁNICA EN LA MACARONESIA</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85.000,00 €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de Cooperación </w:t>
            </w:r>
            <w:proofErr w:type="spellStart"/>
            <w:r w:rsidRPr="00AA5294">
              <w:rPr>
                <w:rFonts w:eastAsia="MS Mincho"/>
                <w:sz w:val="16"/>
                <w:szCs w:val="16"/>
                <w:lang w:eastAsia="ja-JP"/>
              </w:rPr>
              <w:t>Territoria</w:t>
            </w:r>
            <w:proofErr w:type="spellEnd"/>
            <w:r w:rsidRPr="00AA5294">
              <w:rPr>
                <w:rFonts w:eastAsia="MS Mincho"/>
                <w:sz w:val="16"/>
                <w:szCs w:val="16"/>
                <w:lang w:eastAsia="ja-JP"/>
              </w:rPr>
              <w:t xml:space="preserve"> INTERREG V A España-Portugal MAC 2014-2020 (85%)</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sz w:val="16"/>
                <w:szCs w:val="16"/>
                <w:lang w:eastAsia="ja-JP"/>
              </w:rPr>
              <w:t>MAC/3.5b/124</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VOLRISKMAC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2017-2020 (4 años)</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Dr. Pedro A. Hernández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La monitorización de la actividad volcánica es una de las dos acciones científicas </w:t>
            </w:r>
            <w:proofErr w:type="spellStart"/>
            <w:r w:rsidRPr="00AA5294">
              <w:rPr>
                <w:rFonts w:eastAsia="MS Mincho"/>
                <w:sz w:val="16"/>
                <w:szCs w:val="16"/>
                <w:lang w:eastAsia="ja-JP"/>
              </w:rPr>
              <w:t>funadamentales</w:t>
            </w:r>
            <w:proofErr w:type="spellEnd"/>
            <w:r w:rsidRPr="00AA5294">
              <w:rPr>
                <w:rFonts w:eastAsia="MS Mincho"/>
                <w:sz w:val="16"/>
                <w:szCs w:val="16"/>
                <w:lang w:eastAsia="ja-JP"/>
              </w:rPr>
              <w:t xml:space="preserve"> para la reducción del riesgo volcánico en zonas volcánicamente activas catalogadas con riesgo volcánico. El fortalecimientos en las capacidades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de los programas de vigilancia volcánica contribuye al fortalecimiento del sistema de alerta temprana de fenómenos volcanológicos adversos (crisis </w:t>
            </w:r>
            <w:proofErr w:type="spellStart"/>
            <w:r w:rsidRPr="00AA5294">
              <w:rPr>
                <w:rFonts w:eastAsia="MS Mincho"/>
                <w:sz w:val="16"/>
                <w:szCs w:val="16"/>
                <w:lang w:eastAsia="ja-JP"/>
              </w:rPr>
              <w:t>sismovolcánicas</w:t>
            </w:r>
            <w:proofErr w:type="spellEnd"/>
            <w:r w:rsidRPr="00AA5294">
              <w:rPr>
                <w:rFonts w:eastAsia="MS Mincho"/>
                <w:sz w:val="16"/>
                <w:szCs w:val="16"/>
                <w:lang w:eastAsia="ja-JP"/>
              </w:rPr>
              <w:t xml:space="preserve"> y erupciones volcánicas) en la región de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En el marco de este proyecto se pretende fortalecer los programas de vigilancia volcánica en canarias, Azores, Madeira y Cabo Verde a través del fortalecimiento de las capacidades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a través de sus redes instrumentales permanentes y de sus campañas científicas periódicas de observación.</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Proyecto #10.</w:t>
            </w:r>
            <w:r w:rsidRPr="00AA5294">
              <w:rPr>
                <w:rFonts w:eastAsia="MS Mincho"/>
                <w:b/>
                <w:bCs/>
                <w:sz w:val="16"/>
                <w:szCs w:val="16"/>
                <w:lang w:eastAsia="ja-JP"/>
              </w:rPr>
              <w:t xml:space="preserve"> Contribuyendo a la reduciendo el riesgo volcánico en La Palma (CUMBRE VIEJA)</w:t>
            </w:r>
          </w:p>
          <w:p w:rsidR="00AA5294" w:rsidRPr="00AA5294" w:rsidRDefault="00AA5294" w:rsidP="00AA5294">
            <w:pPr>
              <w:jc w:val="both"/>
              <w:rPr>
                <w:rFonts w:eastAsia="MS Mincho"/>
                <w:sz w:val="16"/>
                <w:szCs w:val="16"/>
                <w:lang w:eastAsia="ja-JP"/>
              </w:rPr>
            </w:pP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50.000,00 €/año</w:t>
            </w:r>
          </w:p>
          <w:p w:rsidR="00AA5294" w:rsidRPr="00AA5294" w:rsidRDefault="00AA5294" w:rsidP="00AA5294">
            <w:pPr>
              <w:tabs>
                <w:tab w:val="left" w:pos="3581"/>
              </w:tabs>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Cabildo Insular de La Palma (100%)</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Referencia:</w:t>
            </w:r>
            <w:r w:rsidRPr="00AA5294">
              <w:rPr>
                <w:rFonts w:ascii="Times New Roman" w:hAnsi="Times New Roman" w:cs="Times New Roman"/>
                <w:sz w:val="16"/>
                <w:szCs w:val="16"/>
                <w:lang w:val="es-ES"/>
              </w:rPr>
              <w:t xml:space="preserve"> </w:t>
            </w:r>
            <w:r w:rsidRPr="00AA5294">
              <w:rPr>
                <w:rFonts w:ascii="Times New Roman" w:hAnsi="Times New Roman" w:cs="Times New Roman"/>
                <w:sz w:val="16"/>
                <w:szCs w:val="16"/>
              </w:rPr>
              <w:t>INVOLCAN-20-09</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Acrónimo:</w:t>
            </w:r>
            <w:r w:rsidRPr="00AA5294">
              <w:rPr>
                <w:rFonts w:ascii="Times New Roman" w:hAnsi="Times New Roman" w:cs="Times New Roman"/>
                <w:sz w:val="16"/>
                <w:szCs w:val="16"/>
                <w:lang w:val="es-ES"/>
              </w:rPr>
              <w:t xml:space="preserve"> </w:t>
            </w:r>
            <w:proofErr w:type="spellStart"/>
            <w:r w:rsidRPr="00AA5294">
              <w:rPr>
                <w:rFonts w:ascii="Times New Roman" w:hAnsi="Times New Roman" w:cs="Times New Roman"/>
                <w:sz w:val="16"/>
                <w:szCs w:val="16"/>
                <w:lang w:val="es-ES"/>
              </w:rPr>
              <w:t>LPvolcano</w:t>
            </w:r>
            <w:proofErr w:type="spellEnd"/>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Duración:</w:t>
            </w:r>
            <w:r w:rsidRPr="00AA5294">
              <w:rPr>
                <w:rFonts w:ascii="Times New Roman" w:hAnsi="Times New Roman" w:cs="Times New Roman"/>
                <w:sz w:val="16"/>
                <w:szCs w:val="16"/>
                <w:lang w:val="es-ES"/>
              </w:rPr>
              <w:t xml:space="preserve"> 2019-2020</w:t>
            </w:r>
          </w:p>
          <w:p w:rsidR="00AA5294" w:rsidRPr="00AA5294" w:rsidRDefault="00AA5294" w:rsidP="00AA5294">
            <w:pPr>
              <w:pStyle w:val="HTMLPreformatted"/>
              <w:ind w:left="1276"/>
              <w:jc w:val="both"/>
              <w:rPr>
                <w:rFonts w:ascii="Times New Roman" w:hAnsi="Times New Roman" w:cs="Times New Roman"/>
                <w:sz w:val="16"/>
                <w:szCs w:val="16"/>
                <w:lang w:val="es-ES"/>
              </w:rPr>
            </w:pPr>
            <w:r w:rsidRPr="00AA5294">
              <w:rPr>
                <w:rFonts w:ascii="Times New Roman" w:hAnsi="Times New Roman" w:cs="Times New Roman"/>
                <w:i/>
                <w:iCs/>
                <w:sz w:val="16"/>
                <w:szCs w:val="16"/>
                <w:lang w:val="es-ES"/>
              </w:rPr>
              <w:t>Investigadores Principales:</w:t>
            </w:r>
            <w:r w:rsidRPr="00AA5294">
              <w:rPr>
                <w:rFonts w:ascii="Times New Roman" w:hAnsi="Times New Roman" w:cs="Times New Roman"/>
                <w:sz w:val="16"/>
                <w:szCs w:val="16"/>
                <w:lang w:val="es-ES"/>
              </w:rPr>
              <w:t xml:space="preserve"> Dr. Eleazar Padrón &amp; Dr. Luca </w:t>
            </w:r>
            <w:proofErr w:type="spellStart"/>
            <w:r w:rsidRPr="00AA5294">
              <w:rPr>
                <w:rFonts w:ascii="Times New Roman" w:hAnsi="Times New Roman" w:cs="Times New Roman"/>
                <w:sz w:val="16"/>
                <w:szCs w:val="16"/>
                <w:lang w:val="es-ES"/>
              </w:rPr>
              <w:t>D’Auria</w:t>
            </w:r>
            <w:proofErr w:type="spellEnd"/>
          </w:p>
          <w:p w:rsidR="00AA5294" w:rsidRPr="00AA5294" w:rsidRDefault="00AA5294" w:rsidP="00AA5294">
            <w:pPr>
              <w:jc w:val="both"/>
              <w:rPr>
                <w:rFonts w:eastAsia="MS Mincho"/>
                <w:sz w:val="16"/>
                <w:szCs w:val="16"/>
                <w:lang w:eastAsia="ja-JP"/>
              </w:rPr>
            </w:pPr>
          </w:p>
          <w:p w:rsidR="00AA5294" w:rsidRPr="00AA5294" w:rsidRDefault="00AA5294" w:rsidP="00AA5294">
            <w:pPr>
              <w:jc w:val="both"/>
              <w:rPr>
                <w:i/>
                <w:iCs/>
                <w:sz w:val="16"/>
                <w:szCs w:val="16"/>
              </w:rPr>
            </w:pPr>
            <w:r w:rsidRPr="00AA5294">
              <w:rPr>
                <w:rFonts w:eastAsia="MS Mincho"/>
                <w:sz w:val="16"/>
                <w:szCs w:val="16"/>
                <w:lang w:eastAsia="ja-JP"/>
              </w:rPr>
              <w:t>Dentro del marco de este proyecto se pretende contribuir a mejorar y optimizar la vigilancia volcánica de la Isla de La Palma así como al mantenimiento y operatividad del actual programa de vigilancia volcánica implantando desde el año 1997</w:t>
            </w:r>
            <w:r w:rsidRPr="00AA5294">
              <w:rPr>
                <w:i/>
                <w:iCs/>
                <w:sz w:val="16"/>
                <w:szCs w:val="16"/>
              </w:rPr>
              <w:t>.</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rPr>
                <w:rFonts w:eastAsia="MS Mincho"/>
                <w:b/>
                <w:bCs/>
                <w:sz w:val="16"/>
                <w:szCs w:val="16"/>
                <w:lang w:eastAsia="ja-JP"/>
              </w:rPr>
            </w:pPr>
            <w:r w:rsidRPr="00AA5294">
              <w:rPr>
                <w:rFonts w:eastAsia="MS Mincho"/>
                <w:bCs/>
                <w:sz w:val="16"/>
                <w:szCs w:val="16"/>
                <w:lang w:eastAsia="ja-JP"/>
              </w:rPr>
              <w:t>Proyecto #11.</w:t>
            </w:r>
            <w:r w:rsidRPr="00AA5294">
              <w:rPr>
                <w:rFonts w:eastAsia="MS Mincho"/>
                <w:b/>
                <w:bCs/>
                <w:sz w:val="16"/>
                <w:szCs w:val="16"/>
                <w:lang w:eastAsia="ja-JP"/>
              </w:rPr>
              <w:t xml:space="preserve"> DISEÑO Y DESARROLLO EXPERIMENTAL DE UNA METODOLOGÍA MULTIPARAMÉTRICA PARA LA EXPLORACIÓN DE RECURSOS GEOTÉRMICOS OCULTOS DE ALTA ENTALPÍA EN CANARIAS</w:t>
            </w:r>
          </w:p>
          <w:p w:rsidR="00AA5294" w:rsidRPr="00AA5294" w:rsidRDefault="00AA5294" w:rsidP="00AA5294">
            <w:pPr>
              <w:autoSpaceDE w:val="0"/>
              <w:autoSpaceDN w:val="0"/>
              <w:adjustRightInd w:val="0"/>
              <w:jc w:val="both"/>
              <w:rPr>
                <w:rFonts w:eastAsia="MS Mincho"/>
                <w:b/>
                <w:bCs/>
                <w:sz w:val="16"/>
                <w:szCs w:val="16"/>
                <w:lang w:eastAsia="ja-JP"/>
              </w:rPr>
            </w:pP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Presupuesto:</w:t>
            </w:r>
            <w:r w:rsidRPr="00AA5294">
              <w:rPr>
                <w:rFonts w:eastAsia="MS Mincho"/>
                <w:bCs/>
                <w:sz w:val="16"/>
                <w:szCs w:val="16"/>
                <w:lang w:eastAsia="ja-JP"/>
              </w:rPr>
              <w:t xml:space="preserve"> 491.151,20 € (total); 132.563,53 € (año 2020)</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Financiación:</w:t>
            </w:r>
            <w:r w:rsidRPr="00AA5294">
              <w:rPr>
                <w:rFonts w:eastAsia="MS Mincho"/>
                <w:bCs/>
                <w:sz w:val="16"/>
                <w:szCs w:val="16"/>
                <w:lang w:eastAsia="ja-JP"/>
              </w:rPr>
              <w:t xml:space="preserve"> Programa Retos-Colaboración del Plan Nacional de I+D 2013-2016 (40%)</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Referencia:</w:t>
            </w:r>
            <w:r w:rsidRPr="00AA5294">
              <w:rPr>
                <w:rFonts w:eastAsia="MS Mincho"/>
                <w:bCs/>
                <w:sz w:val="16"/>
                <w:szCs w:val="16"/>
                <w:lang w:eastAsia="ja-JP"/>
              </w:rPr>
              <w:t xml:space="preserve"> RTC-2017-6627-3</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Acrónimo:</w:t>
            </w:r>
            <w:r w:rsidRPr="00AA5294">
              <w:rPr>
                <w:rFonts w:eastAsia="MS Mincho"/>
                <w:bCs/>
                <w:sz w:val="16"/>
                <w:szCs w:val="16"/>
                <w:lang w:eastAsia="ja-JP"/>
              </w:rPr>
              <w:t xml:space="preserve"> TERMOVOLCAN</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Duración:</w:t>
            </w:r>
            <w:r w:rsidRPr="00AA5294">
              <w:rPr>
                <w:rFonts w:eastAsia="MS Mincho"/>
                <w:bCs/>
                <w:sz w:val="16"/>
                <w:szCs w:val="16"/>
                <w:lang w:eastAsia="ja-JP"/>
              </w:rPr>
              <w:t xml:space="preserve"> 2018-2022 (4 años)</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Investigadores Principales:</w:t>
            </w:r>
            <w:r w:rsidRPr="00AA5294">
              <w:rPr>
                <w:rFonts w:eastAsia="MS Mincho"/>
                <w:bCs/>
                <w:sz w:val="16"/>
                <w:szCs w:val="16"/>
                <w:lang w:eastAsia="ja-JP"/>
              </w:rPr>
              <w:t xml:space="preserve"> Dr. Luca </w:t>
            </w:r>
            <w:proofErr w:type="spellStart"/>
            <w:r w:rsidRPr="00AA5294">
              <w:rPr>
                <w:rFonts w:eastAsia="MS Mincho"/>
                <w:bCs/>
                <w:sz w:val="16"/>
                <w:szCs w:val="16"/>
                <w:lang w:eastAsia="ja-JP"/>
              </w:rPr>
              <w:t>D’Auria</w:t>
            </w:r>
            <w:proofErr w:type="spellEnd"/>
            <w:r w:rsidRPr="00AA5294">
              <w:rPr>
                <w:rFonts w:eastAsia="MS Mincho"/>
                <w:bCs/>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bCs/>
                <w:sz w:val="16"/>
                <w:szCs w:val="16"/>
                <w:lang w:eastAsia="ja-JP"/>
              </w:rPr>
            </w:pPr>
          </w:p>
          <w:p w:rsidR="00AA5294" w:rsidRPr="00AA5294" w:rsidRDefault="00AA5294" w:rsidP="00AA5294">
            <w:pPr>
              <w:autoSpaceDE w:val="0"/>
              <w:autoSpaceDN w:val="0"/>
              <w:adjustRightInd w:val="0"/>
              <w:jc w:val="both"/>
              <w:rPr>
                <w:rFonts w:eastAsia="MS Mincho"/>
                <w:bCs/>
                <w:sz w:val="16"/>
                <w:szCs w:val="16"/>
                <w:lang w:eastAsia="ja-JP"/>
              </w:rPr>
            </w:pPr>
            <w:r w:rsidRPr="00AA5294">
              <w:rPr>
                <w:rFonts w:eastAsia="MS Mincho"/>
                <w:bCs/>
                <w:sz w:val="16"/>
                <w:szCs w:val="16"/>
                <w:lang w:eastAsia="ja-JP"/>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w:t>
            </w:r>
            <w:proofErr w:type="spellStart"/>
            <w:r w:rsidRPr="00AA5294">
              <w:rPr>
                <w:rFonts w:eastAsia="MS Mincho"/>
                <w:bCs/>
                <w:sz w:val="16"/>
                <w:szCs w:val="16"/>
                <w:lang w:eastAsia="ja-JP"/>
              </w:rPr>
              <w:t>I+D+i</w:t>
            </w:r>
            <w:proofErr w:type="spellEnd"/>
            <w:r w:rsidRPr="00AA5294">
              <w:rPr>
                <w:rFonts w:eastAsia="MS Mincho"/>
                <w:bCs/>
                <w:sz w:val="16"/>
                <w:szCs w:val="16"/>
                <w:lang w:eastAsia="ja-JP"/>
              </w:rPr>
              <w:t xml:space="preserve">. La agrupación está integrada por la empresa el Instituto Tecnológico y de Energías Renovables – ITER, el Instituto Geológico y Minero de España – IGME, la </w:t>
            </w:r>
            <w:proofErr w:type="spellStart"/>
            <w:r w:rsidRPr="00AA5294">
              <w:rPr>
                <w:rFonts w:eastAsia="MS Mincho"/>
                <w:bCs/>
                <w:sz w:val="16"/>
                <w:szCs w:val="16"/>
                <w:lang w:eastAsia="ja-JP"/>
              </w:rPr>
              <w:t>Fundació</w:t>
            </w:r>
            <w:proofErr w:type="spellEnd"/>
            <w:r w:rsidRPr="00AA5294">
              <w:rPr>
                <w:rFonts w:eastAsia="MS Mincho"/>
                <w:bCs/>
                <w:sz w:val="16"/>
                <w:szCs w:val="16"/>
                <w:lang w:eastAsia="ja-JP"/>
              </w:rPr>
              <w:t xml:space="preserve"> Bosch I </w:t>
            </w:r>
            <w:proofErr w:type="spellStart"/>
            <w:r w:rsidRPr="00AA5294">
              <w:rPr>
                <w:rFonts w:eastAsia="MS Mincho"/>
                <w:bCs/>
                <w:sz w:val="16"/>
                <w:szCs w:val="16"/>
                <w:lang w:eastAsia="ja-JP"/>
              </w:rPr>
              <w:t>Gimpera</w:t>
            </w:r>
            <w:proofErr w:type="spellEnd"/>
            <w:r w:rsidRPr="00AA5294">
              <w:rPr>
                <w:rFonts w:eastAsia="MS Mincho"/>
                <w:bCs/>
                <w:sz w:val="16"/>
                <w:szCs w:val="16"/>
                <w:lang w:eastAsia="ja-JP"/>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AA5294" w:rsidRPr="00AA5294" w:rsidRDefault="00AA5294" w:rsidP="00AA5294">
            <w:pPr>
              <w:autoSpaceDE w:val="0"/>
              <w:autoSpaceDN w:val="0"/>
              <w:adjustRightInd w:val="0"/>
              <w:jc w:val="both"/>
              <w:rPr>
                <w:rFonts w:eastAsia="MS Mincho"/>
                <w:b/>
                <w:bCs/>
                <w:sz w:val="16"/>
                <w:szCs w:val="16"/>
                <w:lang w:eastAsia="ja-JP"/>
              </w:rPr>
            </w:pPr>
          </w:p>
          <w:p w:rsidR="00AA5294" w:rsidRPr="00AA5294" w:rsidRDefault="00AA5294" w:rsidP="00AA5294">
            <w:pPr>
              <w:autoSpaceDE w:val="0"/>
              <w:autoSpaceDN w:val="0"/>
              <w:adjustRightInd w:val="0"/>
              <w:rPr>
                <w:rFonts w:eastAsia="MS Mincho"/>
                <w:bCs/>
                <w:sz w:val="16"/>
                <w:szCs w:val="16"/>
                <w:lang w:eastAsia="ja-JP"/>
              </w:rPr>
            </w:pPr>
          </w:p>
          <w:p w:rsidR="00AA5294" w:rsidRPr="00AA5294" w:rsidRDefault="00AA5294" w:rsidP="00AA5294">
            <w:pPr>
              <w:autoSpaceDE w:val="0"/>
              <w:autoSpaceDN w:val="0"/>
              <w:adjustRightInd w:val="0"/>
              <w:rPr>
                <w:rFonts w:eastAsia="MS Mincho"/>
                <w:b/>
                <w:bCs/>
                <w:sz w:val="16"/>
                <w:szCs w:val="16"/>
                <w:lang w:eastAsia="ja-JP"/>
              </w:rPr>
            </w:pPr>
            <w:r w:rsidRPr="00AA5294">
              <w:rPr>
                <w:rFonts w:eastAsia="MS Mincho"/>
                <w:bCs/>
                <w:sz w:val="16"/>
                <w:szCs w:val="16"/>
                <w:lang w:eastAsia="ja-JP"/>
              </w:rPr>
              <w:t>Proyecto #12.</w:t>
            </w:r>
            <w:r w:rsidRPr="00AA5294">
              <w:rPr>
                <w:rFonts w:eastAsia="MS Mincho"/>
                <w:b/>
                <w:bCs/>
                <w:sz w:val="16"/>
                <w:szCs w:val="16"/>
                <w:lang w:eastAsia="ja-JP"/>
              </w:rPr>
              <w:t xml:space="preserve"> DISEÑO Y DESARROLLO EXPERIMENTAL DE PROTOTIPOS PARA LA GENERACIÓN ELÉCTRICA MEDIANTE EFECTO TERMOELÉCTRICO EN ANOMALÍAS GEOTÉRMICAS SUPERFICIALES DE ORIGEN VOLCÁNICO: APLICACIÓN EN LOS SISTEMAS VOLCÁNICOS DE TIMANFAYA (LANZAROTE) Y TEIDE (TENERIFE)</w:t>
            </w:r>
          </w:p>
          <w:p w:rsidR="00AA5294" w:rsidRPr="00AA5294" w:rsidRDefault="00AA5294" w:rsidP="00AA5294">
            <w:pPr>
              <w:autoSpaceDE w:val="0"/>
              <w:autoSpaceDN w:val="0"/>
              <w:adjustRightInd w:val="0"/>
              <w:jc w:val="both"/>
              <w:rPr>
                <w:rFonts w:eastAsia="MS Mincho"/>
                <w:b/>
                <w:bCs/>
                <w:sz w:val="16"/>
                <w:szCs w:val="16"/>
                <w:lang w:eastAsia="ja-JP"/>
              </w:rPr>
            </w:pP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Presupuesto:</w:t>
            </w:r>
            <w:r w:rsidRPr="00AA5294">
              <w:rPr>
                <w:rFonts w:eastAsia="MS Mincho"/>
                <w:bCs/>
                <w:sz w:val="16"/>
                <w:szCs w:val="16"/>
                <w:lang w:eastAsia="ja-JP"/>
              </w:rPr>
              <w:t xml:space="preserve"> 299.993,07 € (total); 102.049,23 € (año 2020)</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Financiación:</w:t>
            </w:r>
            <w:r w:rsidRPr="00AA5294">
              <w:rPr>
                <w:rFonts w:eastAsia="MS Mincho"/>
                <w:bCs/>
                <w:sz w:val="16"/>
                <w:szCs w:val="16"/>
                <w:lang w:eastAsia="ja-JP"/>
              </w:rPr>
              <w:t xml:space="preserve"> Programa Retos-Colaboración del Plan Nacional de I+D 2013-2016 (40%)</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Referencia:</w:t>
            </w:r>
            <w:r w:rsidRPr="00AA5294">
              <w:rPr>
                <w:rFonts w:eastAsia="MS Mincho"/>
                <w:bCs/>
                <w:sz w:val="16"/>
                <w:szCs w:val="16"/>
                <w:lang w:eastAsia="ja-JP"/>
              </w:rPr>
              <w:t xml:space="preserve"> RTC-2017-6628-3</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Acrónimo:</w:t>
            </w:r>
            <w:r w:rsidRPr="00AA5294">
              <w:rPr>
                <w:rFonts w:eastAsia="MS Mincho"/>
                <w:bCs/>
                <w:sz w:val="16"/>
                <w:szCs w:val="16"/>
                <w:lang w:eastAsia="ja-JP"/>
              </w:rPr>
              <w:t xml:space="preserve"> ELECTROVOLCAN</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Duración:</w:t>
            </w:r>
            <w:r w:rsidRPr="00AA5294">
              <w:rPr>
                <w:rFonts w:eastAsia="MS Mincho"/>
                <w:bCs/>
                <w:sz w:val="16"/>
                <w:szCs w:val="16"/>
                <w:lang w:eastAsia="ja-JP"/>
              </w:rPr>
              <w:t xml:space="preserve"> 2018-2021 (3 años)</w:t>
            </w:r>
          </w:p>
          <w:p w:rsidR="00AA5294" w:rsidRPr="00AA5294" w:rsidRDefault="00AA5294" w:rsidP="00AA5294">
            <w:pPr>
              <w:autoSpaceDE w:val="0"/>
              <w:autoSpaceDN w:val="0"/>
              <w:adjustRightInd w:val="0"/>
              <w:ind w:left="1276"/>
              <w:jc w:val="both"/>
              <w:rPr>
                <w:rFonts w:eastAsia="MS Mincho"/>
                <w:bCs/>
                <w:sz w:val="16"/>
                <w:szCs w:val="16"/>
                <w:lang w:eastAsia="ja-JP"/>
              </w:rPr>
            </w:pPr>
            <w:r w:rsidRPr="00AA5294">
              <w:rPr>
                <w:rFonts w:eastAsia="MS Mincho"/>
                <w:bCs/>
                <w:i/>
                <w:sz w:val="16"/>
                <w:szCs w:val="16"/>
                <w:lang w:eastAsia="ja-JP"/>
              </w:rPr>
              <w:t>Investigadores Principales:</w:t>
            </w:r>
            <w:r w:rsidRPr="00AA5294">
              <w:rPr>
                <w:rFonts w:eastAsia="MS Mincho"/>
                <w:bCs/>
                <w:sz w:val="16"/>
                <w:szCs w:val="16"/>
                <w:lang w:eastAsia="ja-JP"/>
              </w:rPr>
              <w:t xml:space="preserve"> Dr. Pedro A. Hernández  &amp; Dr. Eleazar Padrón</w:t>
            </w:r>
          </w:p>
          <w:p w:rsidR="00AA5294" w:rsidRPr="00AA5294" w:rsidRDefault="00AA5294" w:rsidP="00AA5294">
            <w:pPr>
              <w:autoSpaceDE w:val="0"/>
              <w:autoSpaceDN w:val="0"/>
              <w:adjustRightInd w:val="0"/>
              <w:jc w:val="both"/>
              <w:rPr>
                <w:rFonts w:eastAsia="MS Mincho"/>
                <w:bCs/>
                <w:sz w:val="16"/>
                <w:szCs w:val="16"/>
                <w:lang w:eastAsia="ja-JP"/>
              </w:rPr>
            </w:pPr>
          </w:p>
          <w:p w:rsidR="00AA5294" w:rsidRPr="00AA5294" w:rsidRDefault="00AA5294" w:rsidP="00AA5294">
            <w:pPr>
              <w:autoSpaceDE w:val="0"/>
              <w:autoSpaceDN w:val="0"/>
              <w:adjustRightInd w:val="0"/>
              <w:jc w:val="both"/>
              <w:rPr>
                <w:rFonts w:eastAsia="MS Mincho"/>
                <w:bCs/>
                <w:sz w:val="16"/>
                <w:szCs w:val="16"/>
                <w:lang w:eastAsia="ja-JP"/>
              </w:rPr>
            </w:pPr>
            <w:r w:rsidRPr="00AA5294">
              <w:rPr>
                <w:rFonts w:eastAsia="MS Mincho"/>
                <w:bCs/>
                <w:sz w:val="16"/>
                <w:szCs w:val="16"/>
                <w:lang w:eastAsia="ja-JP"/>
              </w:rPr>
              <w:t xml:space="preserve">El objetivo principal de este proyecto, innovador a nivel mundial, es utilizar la combinación del efecto termoeléctrico y las anomalías geotérmicas ligadas a los sistemas volcánicos de </w:t>
            </w:r>
            <w:proofErr w:type="spellStart"/>
            <w:r w:rsidRPr="00AA5294">
              <w:rPr>
                <w:rFonts w:eastAsia="MS Mincho"/>
                <w:bCs/>
                <w:sz w:val="16"/>
                <w:szCs w:val="16"/>
                <w:lang w:eastAsia="ja-JP"/>
              </w:rPr>
              <w:t>Timanfaya</w:t>
            </w:r>
            <w:proofErr w:type="spellEnd"/>
            <w:r w:rsidRPr="00AA5294">
              <w:rPr>
                <w:rFonts w:eastAsia="MS Mincho"/>
                <w:bCs/>
                <w:sz w:val="16"/>
                <w:szCs w:val="16"/>
                <w:lang w:eastAsia="ja-JP"/>
              </w:rPr>
              <w:t xml:space="preserve"> y Teide, para generar energía eléctrica limpia sin necesidad de alterar el medio natural con sondeos profundos ni importantes instalaciones de superficie (pozos, turbinas, torres de refrigeración, etc.).</w:t>
            </w:r>
          </w:p>
          <w:p w:rsidR="00AA5294" w:rsidRPr="00AA5294" w:rsidRDefault="00AA5294" w:rsidP="00AA5294">
            <w:pPr>
              <w:autoSpaceDE w:val="0"/>
              <w:autoSpaceDN w:val="0"/>
              <w:adjustRightInd w:val="0"/>
              <w:jc w:val="both"/>
              <w:rPr>
                <w:rFonts w:eastAsia="MS Mincho"/>
                <w:sz w:val="16"/>
                <w:szCs w:val="16"/>
                <w:u w:val="single"/>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Proyecto #13.</w:t>
            </w:r>
            <w:r w:rsidRPr="00AA5294">
              <w:rPr>
                <w:rFonts w:eastAsia="MS Mincho"/>
                <w:b/>
                <w:bCs/>
                <w:sz w:val="16"/>
                <w:szCs w:val="16"/>
                <w:lang w:eastAsia="ja-JP"/>
              </w:rPr>
              <w:t xml:space="preserve"> INVESTIGACIÓN GEOMECÁNICA DE PIROCLASTOS Y TALUDES EN TENERIFE</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427.448,00 €</w:t>
            </w:r>
            <w:r w:rsidRPr="00AA5294">
              <w:rPr>
                <w:rFonts w:eastAsia="MS Mincho"/>
                <w:i/>
                <w:iCs/>
                <w:sz w:val="16"/>
                <w:szCs w:val="16"/>
                <w:lang w:eastAsia="ja-JP"/>
              </w:rPr>
              <w:t xml:space="preserve"> (total); </w:t>
            </w:r>
            <w:r w:rsidRPr="00AA5294">
              <w:rPr>
                <w:rFonts w:eastAsia="MS Mincho"/>
                <w:iCs/>
                <w:sz w:val="16"/>
                <w:szCs w:val="16"/>
                <w:lang w:eastAsia="ja-JP"/>
              </w:rPr>
              <w:t xml:space="preserve">166.208,31 € (año 2020) </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Financiación: </w:t>
            </w:r>
            <w:r w:rsidRPr="00AA5294">
              <w:rPr>
                <w:rFonts w:eastAsia="MS Mincho"/>
                <w:iCs/>
                <w:sz w:val="16"/>
                <w:szCs w:val="16"/>
                <w:lang w:eastAsia="ja-JP"/>
              </w:rPr>
              <w:t>Servicio de Carreteras, Cabildo Insular de Tenerife (100%)</w:t>
            </w: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Acrónimo: </w:t>
            </w:r>
            <w:proofErr w:type="spellStart"/>
            <w:r w:rsidRPr="00AA5294">
              <w:rPr>
                <w:rFonts w:eastAsia="MS Mincho"/>
                <w:iCs/>
                <w:sz w:val="16"/>
                <w:szCs w:val="16"/>
                <w:lang w:eastAsia="ja-JP"/>
              </w:rPr>
              <w:t>TFgeomecánica</w:t>
            </w:r>
            <w:proofErr w:type="spellEnd"/>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Duración: </w:t>
            </w:r>
            <w:r w:rsidRPr="00AA5294">
              <w:rPr>
                <w:rFonts w:eastAsia="MS Mincho"/>
                <w:iCs/>
                <w:sz w:val="16"/>
                <w:szCs w:val="16"/>
                <w:lang w:eastAsia="ja-JP"/>
              </w:rPr>
              <w:t>2020-2022</w:t>
            </w:r>
          </w:p>
          <w:p w:rsidR="00AA5294" w:rsidRPr="00AA5294" w:rsidRDefault="00AA5294" w:rsidP="00AA5294">
            <w:pPr>
              <w:autoSpaceDE w:val="0"/>
              <w:autoSpaceDN w:val="0"/>
              <w:adjustRightInd w:val="0"/>
              <w:jc w:val="both"/>
              <w:rPr>
                <w:rFonts w:eastAsia="MS Mincho"/>
                <w:i/>
                <w:iCs/>
                <w:sz w:val="16"/>
                <w:szCs w:val="16"/>
                <w:lang w:eastAsia="ja-JP"/>
              </w:rPr>
            </w:pPr>
            <w:r w:rsidRPr="00AA5294">
              <w:rPr>
                <w:rFonts w:eastAsia="MS Mincho"/>
                <w:i/>
                <w:iCs/>
                <w:sz w:val="16"/>
                <w:szCs w:val="16"/>
                <w:lang w:eastAsia="ja-JP"/>
              </w:rPr>
              <w:t xml:space="preserve">                            Investigadores Principales: </w:t>
            </w:r>
            <w:r w:rsidRPr="00AA5294">
              <w:rPr>
                <w:rFonts w:eastAsia="MS Mincho"/>
                <w:iCs/>
                <w:sz w:val="16"/>
                <w:szCs w:val="16"/>
                <w:lang w:eastAsia="ja-JP"/>
              </w:rPr>
              <w:t>Dr. Luis González de Vallejo &amp; Dr. Luis E. Hernández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La presente  propuesta de  proyecto tiene  por objetivos generales (1) el conocimiento detallado del comportamiento geotécnico de los </w:t>
            </w:r>
            <w:proofErr w:type="spellStart"/>
            <w:r w:rsidRPr="00AA5294">
              <w:rPr>
                <w:rFonts w:eastAsia="MS Mincho"/>
                <w:sz w:val="16"/>
                <w:szCs w:val="16"/>
                <w:lang w:eastAsia="ja-JP"/>
              </w:rPr>
              <w:t>piroclastos</w:t>
            </w:r>
            <w:proofErr w:type="spellEnd"/>
            <w:r w:rsidRPr="00AA5294">
              <w:rPr>
                <w:rFonts w:eastAsia="MS Mincho"/>
                <w:sz w:val="16"/>
                <w:szCs w:val="16"/>
                <w:lang w:eastAsia="ja-JP"/>
              </w:rPr>
              <w:t xml:space="preserve">, (2) el desarrollo de un software para el diseño de cimentaciones en este tipo de materiales, y (3) la elaboración de un  Manual de procedimientos para el diseño y conservación de taludes en la red de carreteras del Cabildo Insular de Tenerife. </w:t>
            </w: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#14.</w:t>
            </w:r>
            <w:r w:rsidRPr="00AA5294">
              <w:rPr>
                <w:rFonts w:eastAsia="MS Mincho"/>
                <w:b/>
                <w:bCs/>
                <w:sz w:val="16"/>
                <w:szCs w:val="16"/>
                <w:lang w:eastAsia="ja-JP"/>
              </w:rPr>
              <w:t xml:space="preserve"> FORTALECIMIENTO DE LAS CAPACIDADES DE I+D+I PARA EL DESARROLLO DE LA RESILIENCIA FRENTE A EMERGENCIAS VOLCÁNICAS EN LA MACARONESIA</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351.770,67 € (total); 216.527,04 € (año 2020)</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de Cooperación Territorial INTERREG V A España-Portugal MAC 2014-2020 (85%)</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sz w:val="16"/>
                <w:szCs w:val="16"/>
                <w:lang w:eastAsia="ja-JP"/>
              </w:rPr>
              <w:t>MAC2/3.5b/328</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VOLRISKMAC II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2020-2023 (4 años)</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Dr. Pedro A. Hernández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El objetivo general de este proyecto es fortalecer las capacidades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para el desarrollo de la resiliencia frente a futuras emergencias volcánicas en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(1) fortalecimiento del sistema de alerta temprana volcánica en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mediante la mejora de las redes instrumentales y desarrollo e implementación de metodologías innovadoras, (2) fortalecer la resiliencia de los sistemas de monitorización volcánica en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y (3) generar una red de colaboración entre los socios participantes e instituciones de I+D nacionales y/o internacionales de reconocida trayectoria para fortalecer la respuesta científica ante emergencias volcánicas en la </w:t>
            </w:r>
            <w:proofErr w:type="spellStart"/>
            <w:r w:rsidRPr="00AA5294">
              <w:rPr>
                <w:rFonts w:eastAsia="MS Mincho"/>
                <w:sz w:val="16"/>
                <w:szCs w:val="16"/>
                <w:lang w:eastAsia="ja-JP"/>
              </w:rPr>
              <w:t>Macaronesia</w:t>
            </w:r>
            <w:proofErr w:type="spellEnd"/>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Proyecto #15.</w:t>
            </w:r>
            <w:r w:rsidRPr="00AA5294">
              <w:rPr>
                <w:rFonts w:eastAsia="MS Mincho"/>
                <w:b/>
                <w:bCs/>
                <w:sz w:val="16"/>
                <w:szCs w:val="16"/>
                <w:lang w:eastAsia="ja-JP"/>
              </w:rPr>
              <w:t xml:space="preserve"> FORTALECIMIENTO DEL VOLCANO TURISMO EN LA MACARONESIA</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512.454,85 € (total); 112.128,74 € (año 2020)</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Programa de Cooperación </w:t>
            </w:r>
            <w:proofErr w:type="spellStart"/>
            <w:r w:rsidRPr="00AA5294">
              <w:rPr>
                <w:rFonts w:eastAsia="MS Mincho"/>
                <w:sz w:val="16"/>
                <w:szCs w:val="16"/>
                <w:lang w:eastAsia="ja-JP"/>
              </w:rPr>
              <w:t>Territoria</w:t>
            </w:r>
            <w:proofErr w:type="spellEnd"/>
            <w:r w:rsidRPr="00AA5294">
              <w:rPr>
                <w:rFonts w:eastAsia="MS Mincho"/>
                <w:sz w:val="16"/>
                <w:szCs w:val="16"/>
                <w:lang w:eastAsia="ja-JP"/>
              </w:rPr>
              <w:t xml:space="preserve"> INTERREG V A España-Portugal MAC 2014-2020 (85%)</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sz w:val="16"/>
                <w:szCs w:val="16"/>
                <w:lang w:eastAsia="ja-JP"/>
              </w:rPr>
              <w:t>MAC2/4.6c/298</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VOLTURMAC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2020-2023 (4 años)</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Javier </w:t>
            </w:r>
            <w:proofErr w:type="spellStart"/>
            <w:r w:rsidRPr="00AA5294">
              <w:rPr>
                <w:rFonts w:eastAsia="MS Mincho"/>
                <w:sz w:val="16"/>
                <w:szCs w:val="16"/>
                <w:lang w:eastAsia="ja-JP"/>
              </w:rPr>
              <w:t>Dóniz</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El objetivo general de VOLTURMAC es contribuir al fortalecimiento de la conservación, protección, fomento y desarrollo del patrimonio natural y cultural asociado al fenómeno volcánico en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mediante la potenciación del </w:t>
            </w:r>
            <w:proofErr w:type="spellStart"/>
            <w:r w:rsidRPr="00AA5294">
              <w:rPr>
                <w:rFonts w:eastAsia="MS Mincho"/>
                <w:sz w:val="16"/>
                <w:szCs w:val="16"/>
                <w:lang w:eastAsia="ja-JP"/>
              </w:rPr>
              <w:t>volcano</w:t>
            </w:r>
            <w:proofErr w:type="spellEnd"/>
            <w:r w:rsidRPr="00AA5294">
              <w:rPr>
                <w:rFonts w:eastAsia="MS Mincho"/>
                <w:sz w:val="16"/>
                <w:szCs w:val="16"/>
                <w:lang w:eastAsia="ja-JP"/>
              </w:rPr>
              <w:t xml:space="preserve"> turismo. Para el cumplimiento del objetivo general se tiene previsto cumplimentar los siguientes objetivos específicos (1) Analizar, evaluar e identificar el potencial del </w:t>
            </w:r>
            <w:proofErr w:type="spellStart"/>
            <w:r w:rsidRPr="00AA5294">
              <w:rPr>
                <w:rFonts w:eastAsia="MS Mincho"/>
                <w:sz w:val="16"/>
                <w:szCs w:val="16"/>
                <w:lang w:eastAsia="ja-JP"/>
              </w:rPr>
              <w:t>volcano</w:t>
            </w:r>
            <w:proofErr w:type="spellEnd"/>
            <w:r w:rsidRPr="00AA5294">
              <w:rPr>
                <w:rFonts w:eastAsia="MS Mincho"/>
                <w:sz w:val="16"/>
                <w:szCs w:val="16"/>
                <w:lang w:eastAsia="ja-JP"/>
              </w:rPr>
              <w:t xml:space="preserve"> turismo en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(2) crear itinerarios y geo-rutas turísticas que revaloricen los recursos naturales y culturales de los volcanes de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y (3) fomentar y fortalecer la formación sobre los recursos naturales y culturales ligados</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al fenómeno volcánico en el sector turístico de la </w:t>
            </w:r>
            <w:proofErr w:type="spellStart"/>
            <w:r w:rsidRPr="00AA5294">
              <w:rPr>
                <w:rFonts w:eastAsia="MS Mincho"/>
                <w:sz w:val="16"/>
                <w:szCs w:val="16"/>
                <w:lang w:eastAsia="ja-JP"/>
              </w:rPr>
              <w:t>Macaronesia</w:t>
            </w:r>
            <w:proofErr w:type="spellEnd"/>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#16.</w:t>
            </w:r>
            <w:r w:rsidRPr="00AA5294">
              <w:rPr>
                <w:rFonts w:eastAsia="MS Mincho"/>
                <w:b/>
                <w:bCs/>
                <w:sz w:val="16"/>
                <w:szCs w:val="16"/>
                <w:lang w:eastAsia="ja-JP"/>
              </w:rPr>
              <w:t xml:space="preserve"> TENERIFE INTERNATIONAL SCHOOL FOR VOLCANOLOGY</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25.000,00 € (año 2020)</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Matriculas &amp; Patrocinio de empresas tecnológicas (100%)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INVOLCAN-20-11</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TFschool</w:t>
            </w:r>
            <w:proofErr w:type="spellEnd"/>
            <w:r w:rsidRPr="00AA5294">
              <w:rPr>
                <w:rFonts w:eastAsia="MS Mincho"/>
                <w:sz w:val="16"/>
                <w:szCs w:val="16"/>
                <w:lang w:eastAsia="ja-JP"/>
              </w:rPr>
              <w:t xml:space="preserve">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Desde el año 2017 hasta la actualidad</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El objetivo de este proyecto es contribuir a que Tenerife sea una escuela internacional para la formación de estudiantes universitarios de grado y postgrado sobre el fenómeno volcánico.  Hasta la actualidad en el marco de este proyecto se han materializado 3 ediciones del Tenerife International Training </w:t>
            </w:r>
            <w:proofErr w:type="spellStart"/>
            <w:r w:rsidRPr="00AA5294">
              <w:rPr>
                <w:rFonts w:eastAsia="MS Mincho"/>
                <w:sz w:val="16"/>
                <w:szCs w:val="16"/>
                <w:lang w:eastAsia="ja-JP"/>
              </w:rPr>
              <w:t>Course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on</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Volcano</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Monitoring</w:t>
            </w:r>
            <w:proofErr w:type="spellEnd"/>
            <w:r w:rsidRPr="00AA5294">
              <w:rPr>
                <w:rFonts w:eastAsia="MS Mincho"/>
                <w:sz w:val="16"/>
                <w:szCs w:val="16"/>
                <w:lang w:eastAsia="ja-JP"/>
              </w:rPr>
              <w:t xml:space="preserve"> (2017, 2018 y 2019) y 2 ediciones del Tenerife International Training </w:t>
            </w:r>
            <w:proofErr w:type="spellStart"/>
            <w:r w:rsidRPr="00AA5294">
              <w:rPr>
                <w:rFonts w:eastAsia="MS Mincho"/>
                <w:sz w:val="16"/>
                <w:szCs w:val="16"/>
                <w:lang w:eastAsia="ja-JP"/>
              </w:rPr>
              <w:t>Course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on</w:t>
            </w:r>
            <w:proofErr w:type="spellEnd"/>
            <w:r w:rsidRPr="00AA5294">
              <w:rPr>
                <w:rFonts w:eastAsia="MS Mincho"/>
                <w:sz w:val="16"/>
                <w:szCs w:val="16"/>
                <w:lang w:eastAsia="ja-JP"/>
              </w:rPr>
              <w:t xml:space="preserve"> Surface </w:t>
            </w:r>
            <w:proofErr w:type="spellStart"/>
            <w:r w:rsidRPr="00AA5294">
              <w:rPr>
                <w:rFonts w:eastAsia="MS Mincho"/>
                <w:sz w:val="16"/>
                <w:szCs w:val="16"/>
                <w:lang w:eastAsia="ja-JP"/>
              </w:rPr>
              <w:t>Geothermal</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Expoloration</w:t>
            </w:r>
            <w:proofErr w:type="spellEnd"/>
            <w:r w:rsidRPr="00AA5294">
              <w:rPr>
                <w:rFonts w:eastAsia="MS Mincho"/>
                <w:sz w:val="16"/>
                <w:szCs w:val="16"/>
                <w:lang w:eastAsia="ja-JP"/>
              </w:rPr>
              <w:t xml:space="preserve"> (2018 y 2019). Durante los últimos 3 años, se han matriculado en estos cursos 128 estudiantes universitarios de grado y postgrado de 23 diferentes nacionalidades procedentes de 40 diferentes universidades de Cabo Verde, </w:t>
            </w:r>
            <w:proofErr w:type="spellStart"/>
            <w:r w:rsidRPr="00AA5294">
              <w:rPr>
                <w:rFonts w:eastAsia="MS Mincho"/>
                <w:sz w:val="16"/>
                <w:szCs w:val="16"/>
                <w:lang w:eastAsia="ja-JP"/>
              </w:rPr>
              <w:t>Canada</w:t>
            </w:r>
            <w:proofErr w:type="spellEnd"/>
            <w:r w:rsidRPr="00AA5294">
              <w:rPr>
                <w:rFonts w:eastAsia="MS Mincho"/>
                <w:sz w:val="16"/>
                <w:szCs w:val="16"/>
                <w:lang w:eastAsia="ja-JP"/>
              </w:rPr>
              <w:t xml:space="preserve">, Chile, España, EE.UU. de América, Francia, Hungría, Italia, México, Reino Unido y Trinidad &amp; Tobago. El equipo de profesores para estos cursos estuvo compuesto por una veintena de investigadores y profesores ligados a centros de investigación y universidades  de Alemania,  España, Holanda, Italia, Japón y Reino Unido. En el año 2020 se tiene previsto materializar 3 cursos: Tenerife International Training </w:t>
            </w:r>
            <w:proofErr w:type="spellStart"/>
            <w:r w:rsidRPr="00AA5294">
              <w:rPr>
                <w:rFonts w:eastAsia="MS Mincho"/>
                <w:sz w:val="16"/>
                <w:szCs w:val="16"/>
                <w:lang w:eastAsia="ja-JP"/>
              </w:rPr>
              <w:t>Course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on</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Volcano</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Monitoring</w:t>
            </w:r>
            <w:proofErr w:type="spellEnd"/>
            <w:r w:rsidRPr="00AA5294">
              <w:rPr>
                <w:rFonts w:eastAsia="MS Mincho"/>
                <w:sz w:val="16"/>
                <w:szCs w:val="16"/>
                <w:lang w:eastAsia="ja-JP"/>
              </w:rPr>
              <w:t xml:space="preserve">, Tenerife International Training </w:t>
            </w:r>
            <w:proofErr w:type="spellStart"/>
            <w:r w:rsidRPr="00AA5294">
              <w:rPr>
                <w:rFonts w:eastAsia="MS Mincho"/>
                <w:sz w:val="16"/>
                <w:szCs w:val="16"/>
                <w:lang w:eastAsia="ja-JP"/>
              </w:rPr>
              <w:t>Course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on</w:t>
            </w:r>
            <w:proofErr w:type="spellEnd"/>
            <w:r w:rsidRPr="00AA5294">
              <w:rPr>
                <w:rFonts w:eastAsia="MS Mincho"/>
                <w:sz w:val="16"/>
                <w:szCs w:val="16"/>
                <w:lang w:eastAsia="ja-JP"/>
              </w:rPr>
              <w:t xml:space="preserve"> Surface </w:t>
            </w:r>
            <w:proofErr w:type="spellStart"/>
            <w:r w:rsidRPr="00AA5294">
              <w:rPr>
                <w:rFonts w:eastAsia="MS Mincho"/>
                <w:sz w:val="16"/>
                <w:szCs w:val="16"/>
                <w:lang w:eastAsia="ja-JP"/>
              </w:rPr>
              <w:t>Geothermal</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Expoloration</w:t>
            </w:r>
            <w:proofErr w:type="spellEnd"/>
            <w:r w:rsidRPr="00AA5294">
              <w:rPr>
                <w:rFonts w:eastAsia="MS Mincho"/>
                <w:sz w:val="16"/>
                <w:szCs w:val="16"/>
                <w:lang w:eastAsia="ja-JP"/>
              </w:rPr>
              <w:t xml:space="preserve"> y Tenerife International Training </w:t>
            </w:r>
            <w:proofErr w:type="spellStart"/>
            <w:r w:rsidRPr="00AA5294">
              <w:rPr>
                <w:rFonts w:eastAsia="MS Mincho"/>
                <w:sz w:val="16"/>
                <w:szCs w:val="16"/>
                <w:lang w:eastAsia="ja-JP"/>
              </w:rPr>
              <w:t>Course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on</w:t>
            </w:r>
            <w:proofErr w:type="spellEnd"/>
            <w:r w:rsidRPr="00AA5294">
              <w:rPr>
                <w:rFonts w:eastAsia="MS Mincho"/>
                <w:sz w:val="16"/>
                <w:szCs w:val="16"/>
                <w:lang w:eastAsia="ja-JP"/>
              </w:rPr>
              <w:t xml:space="preserve"> Field </w:t>
            </w:r>
            <w:proofErr w:type="spellStart"/>
            <w:r w:rsidRPr="00AA5294">
              <w:rPr>
                <w:rFonts w:eastAsia="MS Mincho"/>
                <w:sz w:val="16"/>
                <w:szCs w:val="16"/>
                <w:lang w:eastAsia="ja-JP"/>
              </w:rPr>
              <w:t>Volcanology</w:t>
            </w:r>
            <w:proofErr w:type="spellEnd"/>
            <w:r w:rsidRPr="00AA5294">
              <w:rPr>
                <w:rFonts w:eastAsia="MS Mincho"/>
                <w:sz w:val="16"/>
                <w:szCs w:val="16"/>
                <w:lang w:eastAsia="ja-JP"/>
              </w:rPr>
              <w:t>.</w:t>
            </w: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#17.</w:t>
            </w:r>
            <w:r w:rsidRPr="00AA5294">
              <w:rPr>
                <w:rFonts w:eastAsia="MS Mincho"/>
                <w:b/>
                <w:bCs/>
                <w:sz w:val="16"/>
                <w:szCs w:val="16"/>
                <w:lang w:eastAsia="ja-JP"/>
              </w:rPr>
              <w:t xml:space="preserve"> POTENCIACIÓN DE SISTEMAS DE VIGILANCIA Y PREVENCIÓN RELACIONADOS CON EL RIESGO VOLCÁNICO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200.000,00 €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Dirección General de Seguridad y Emergencias, Gobierno de Canarias (100%)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INVOLCAN-20-12</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CANvolcan</w:t>
            </w:r>
            <w:proofErr w:type="spellEnd"/>
            <w:r w:rsidRPr="00AA5294">
              <w:rPr>
                <w:rFonts w:eastAsia="MS Mincho"/>
                <w:sz w:val="16"/>
                <w:szCs w:val="16"/>
                <w:lang w:eastAsia="ja-JP"/>
              </w:rPr>
              <w:t xml:space="preserve">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2018-2020 (2 años)</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Es un proyecto de infraestructura y equipamiento científico cuya finalidad es contribuir al fortalecimiento de las capacidades técnicas para la vigilancia volcánica en Canarias. En la primera anualidad (2018-2019) se adquirieron 9 estaciones sísmicas de banda ancha y en la segunda anualidad del mismo (2019-2020) se tiene previsto</w:t>
            </w:r>
            <w:r w:rsidRPr="00AA5294">
              <w:rPr>
                <w:sz w:val="16"/>
                <w:szCs w:val="16"/>
              </w:rPr>
              <w:t xml:space="preserve"> </w:t>
            </w:r>
            <w:r w:rsidRPr="00AA5294">
              <w:rPr>
                <w:rFonts w:eastAsia="MS Mincho"/>
                <w:sz w:val="16"/>
                <w:szCs w:val="16"/>
                <w:lang w:eastAsia="ja-JP"/>
              </w:rPr>
              <w:t xml:space="preserve">la adquisición de un gravímetro relativo portátil, que se utilizará para realizar campañas periódicas de medidas de </w:t>
            </w:r>
            <w:proofErr w:type="spellStart"/>
            <w:r w:rsidRPr="00AA5294">
              <w:rPr>
                <w:rFonts w:eastAsia="MS Mincho"/>
                <w:sz w:val="16"/>
                <w:szCs w:val="16"/>
                <w:lang w:eastAsia="ja-JP"/>
              </w:rPr>
              <w:t>microgravedad</w:t>
            </w:r>
            <w:proofErr w:type="spellEnd"/>
            <w:r w:rsidRPr="00AA5294">
              <w:rPr>
                <w:rFonts w:eastAsia="MS Mincho"/>
                <w:sz w:val="16"/>
                <w:szCs w:val="16"/>
                <w:lang w:eastAsia="ja-JP"/>
              </w:rPr>
              <w:t>. La medición de las variaciones espaciales y temporales del campo gravitatorio es una herramienta fundamental para la caracterización y el seguimiento de la actividad del sistema volcánico-hidrotermal.</w:t>
            </w: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#18.</w:t>
            </w:r>
            <w:r w:rsidRPr="00AA5294">
              <w:rPr>
                <w:rFonts w:eastAsia="MS Mincho"/>
                <w:b/>
                <w:bCs/>
                <w:sz w:val="16"/>
                <w:szCs w:val="16"/>
                <w:lang w:eastAsia="ja-JP"/>
              </w:rPr>
              <w:t xml:space="preserve"> IMPULSO A LA GEOTERMIA DE ALTA ENTALPÍA EN CANARIAS</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135.000,00 €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Consejería de Transición Ecológica, Lucha contra el Cambio Climático y Planificación                Territorial, Gobierno de Canarias (100%)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sz w:val="16"/>
                <w:szCs w:val="16"/>
                <w:lang w:eastAsia="ja-JP"/>
              </w:rPr>
              <w:t>187G0132</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CAN_geotermia_01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2019-2020 (1 año)</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La Tomografía de Ruido Sísmico o </w:t>
            </w:r>
            <w:proofErr w:type="spellStart"/>
            <w:r w:rsidRPr="00AA5294">
              <w:rPr>
                <w:rFonts w:eastAsia="MS Mincho"/>
                <w:sz w:val="16"/>
                <w:szCs w:val="16"/>
                <w:lang w:eastAsia="ja-JP"/>
              </w:rPr>
              <w:t>Ambient</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Noise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Tomography</w:t>
            </w:r>
            <w:proofErr w:type="spellEnd"/>
            <w:r w:rsidRPr="00AA5294">
              <w:rPr>
                <w:rFonts w:eastAsia="MS Mincho"/>
                <w:sz w:val="16"/>
                <w:szCs w:val="16"/>
                <w:lang w:eastAsia="ja-JP"/>
              </w:rPr>
              <w:t xml:space="preserve"> (ANT) es una técnica de tomografía sísmica que ha tenido un gran impacto en el campo de la exploración geofísica debido a su bajo coste, versatilidad y sus resultados, que permite obtener modelos tridimensionales de gran resolución, especialmente con respecto a la velocidad de las ondas S. Debido a su gran potencial se ha decidido utilizar esta técnica para obtener un modelo de alta resolución de los primeros kilómetros de la corteza (1-3 km), ya que es esta capa de la corteza la que es de interés geotérmico.</w:t>
            </w: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En el marco de este proyecto y con el fin de mejorar el conocimiento relativo a la estructura geológica superficial de las islas de La Palma, Tenerife y Gran Canaria se propone realizar campañas de medidas de ruido sísmico para obtener o mejorar los modelos existentes. El INVOLCAN ya dispone de una red de 20 estaciones sísmica móviles, que se utilizarán para las medidas y de los recursos de cálculo necesarios para la correcta ejecución del proyecto. El software para el análisis de los datos ya ha sido desarrollado por los investigadores del INVOLCAN.</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#19.</w:t>
            </w:r>
            <w:r w:rsidRPr="00AA5294">
              <w:rPr>
                <w:rFonts w:eastAsia="MS Mincho"/>
                <w:b/>
                <w:bCs/>
                <w:sz w:val="16"/>
                <w:szCs w:val="16"/>
                <w:lang w:eastAsia="ja-JP"/>
              </w:rPr>
              <w:t xml:space="preserve"> TELEPLANETA</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250.000,00 €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RTVE (235.000,00 €), INVOLCAN (15.000,00 €) y FECYT (¿€)</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INVOLCAN-20-13</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TELEPLANETA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Desde el año 2009 hasta la actualidad</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David Calvo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Aproximadamente el 75 % de la población mundial vive en zonas que han sido azotadas, al menos una vez durante los últimos 20 años, por un terremoto, un ciclón tropical, una inundación o una sequía. Recientemente ha comenzado a reconocerse la importancia de las consecuencias que tiene para el desarrollo humano una exposición tan alta a los peligros naturales. Los desastres naturales se encuentran íntimamente relacionados con los procesos de progreso humano, y estos ponen en peligro los proyectos de cualquier sociedad. A su vez, las decisiones en materia de crecimiento, tomadas por particulares, comunidades y naciones, pueden generar nuevos riesgos de desastre. Pero esto no tiene que ser necesariamente así. El desarrollo humano también puede contribuir a reducir eficazmente los mismos. Con la emisión de TELEPLANETA se pretende promover la difusión del impacto de los peligros naturales para incentivar una cultura que contribuya a una mejor relación entre la Humanidad y el Planeta Tierra. Esta actividad está íntimamente relacionada con los objetivos del Año Internacional del Planeta Tierra proclamada por la Asamblea General de las Naciones Unidas en su sesión plenaria del 22 de Diciembre de 2005; contribuir a la reducción de los riesgos naturales en el Planeta Tierra así como potenciar el interés por las Ciencias de la Tierra en la sociedad y alentar a un mayor número de jóvenes al estudio de las Ciencias de la Tierra en la universidad.</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#20.</w:t>
            </w:r>
            <w:r w:rsidRPr="00AA5294">
              <w:rPr>
                <w:rFonts w:eastAsia="MS Mincho"/>
                <w:b/>
                <w:bCs/>
                <w:sz w:val="16"/>
                <w:szCs w:val="16"/>
                <w:lang w:eastAsia="ja-JP"/>
              </w:rPr>
              <w:t xml:space="preserve"> CALENDARIO VOLCÁNICO 2021</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9.000,00 €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Gobierno de Canarias (4.500 €) &amp; INVOLCAN (4.500 €)</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INVOLCAN-20-14</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CALENDARIO 2021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Desde el año 2012 hasta la actualidad</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David Calvo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Desde el año 2012 el Instituto Volcanológico de Canarias (INVOLCAN) impulsa la edición de un calendario dedicado a divulgar diferentes aspectos relacionados con el fenómeno volcánico con la finalidad de contribuir a una mejor percepción de la sociedad sobre la gestión del riesgo volcánico, así como de los numerosos beneficios que conlleva vivir en una región volcánicamente activa. La temática del calendario de 2012 fue la erupción submarina de El Hierro 2011-2012 cuya edición fue posible gracias a la colaboración de la Unidad de Helicópteros de la Guardia Civil de la Zona de Canarias, del Cabildo Insular de El Hierro y Banca Cívica. Desde el 2013 la edición de los calendarios del INVOLCAN ha contado con la colaboración de la Dirección General de Seguridad y Emergencias del Gobierno de Canarias a excepción del año 2019 para sacar adelante el calendario de 2020.</w:t>
            </w:r>
          </w:p>
          <w:p w:rsidR="00AA5294" w:rsidRPr="00AA5294" w:rsidRDefault="00AA5294" w:rsidP="00AA5294">
            <w:pPr>
              <w:jc w:val="both"/>
              <w:rPr>
                <w:rFonts w:eastAsia="MS Mincho"/>
                <w:sz w:val="16"/>
                <w:szCs w:val="16"/>
                <w:lang w:eastAsia="ja-JP"/>
              </w:rPr>
            </w:pP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2012: La erupción submarina de El Hierro 2011-2012</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2013: Volcanismo Histórico de Canarias</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2014: Comprender los Peligros Volcánicos</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2015: Teide, uno de los Volcanes de la Década</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2016: Canarias, una ventana volcánica en el Atlántico</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lastRenderedPageBreak/>
              <w:t xml:space="preserve">Calendario 2017: Volcanes de la </w:t>
            </w:r>
            <w:proofErr w:type="spellStart"/>
            <w:r w:rsidRPr="00AA5294">
              <w:rPr>
                <w:rFonts w:eastAsia="MS Mincho"/>
                <w:sz w:val="16"/>
                <w:szCs w:val="16"/>
                <w:lang w:eastAsia="ja-JP"/>
              </w:rPr>
              <w:t>Macaronesia</w:t>
            </w:r>
            <w:proofErr w:type="spellEnd"/>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2018: Ciudades sobre Volcanes</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2019: Tubos Volcánicos</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2020: ------------------------------</w:t>
            </w:r>
          </w:p>
          <w:p w:rsidR="00AA5294" w:rsidRPr="00AA5294" w:rsidRDefault="00AA5294" w:rsidP="00AA5294">
            <w:pPr>
              <w:pStyle w:val="ListParagraph"/>
              <w:numPr>
                <w:ilvl w:val="0"/>
                <w:numId w:val="32"/>
              </w:numPr>
              <w:jc w:val="both"/>
              <w:rPr>
                <w:rFonts w:eastAsia="MS Mincho"/>
                <w:sz w:val="16"/>
                <w:szCs w:val="16"/>
                <w:lang w:eastAsia="ja-JP"/>
              </w:rPr>
            </w:pPr>
            <w:r w:rsidRPr="00AA5294">
              <w:rPr>
                <w:rFonts w:eastAsia="MS Mincho"/>
                <w:sz w:val="16"/>
                <w:szCs w:val="16"/>
                <w:lang w:eastAsia="ja-JP"/>
              </w:rPr>
              <w:t>Calendario 2021: pendiente de definir la temática</w:t>
            </w: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#21.</w:t>
            </w:r>
            <w:r w:rsidRPr="00AA5294">
              <w:rPr>
                <w:rFonts w:eastAsia="MS Mincho"/>
                <w:b/>
                <w:bCs/>
                <w:sz w:val="16"/>
                <w:szCs w:val="16"/>
                <w:lang w:eastAsia="ja-JP"/>
              </w:rPr>
              <w:t xml:space="preserve"> GEOINTERN PROGRAMA OF GEOTENERIFE IN COLLABORATION WITH INVOLCAN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6.000,00 €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w:t>
            </w:r>
            <w:proofErr w:type="spellStart"/>
            <w:r w:rsidRPr="00AA5294">
              <w:rPr>
                <w:rFonts w:eastAsia="MS Mincho"/>
                <w:sz w:val="16"/>
                <w:szCs w:val="16"/>
                <w:lang w:eastAsia="ja-JP"/>
              </w:rPr>
              <w:t>GeoTenerife</w:t>
            </w:r>
            <w:proofErr w:type="spellEnd"/>
            <w:r w:rsidRPr="00AA5294">
              <w:rPr>
                <w:rFonts w:eastAsia="MS Mincho"/>
                <w:sz w:val="16"/>
                <w:szCs w:val="16"/>
                <w:lang w:eastAsia="ja-JP"/>
              </w:rPr>
              <w:t xml:space="preserve"> Ltd. (50%), INVOLCAN (50%)</w:t>
            </w:r>
          </w:p>
          <w:p w:rsidR="00AA5294" w:rsidRPr="00AA5294" w:rsidRDefault="00AA5294" w:rsidP="00AA5294">
            <w:pPr>
              <w:autoSpaceDE w:val="0"/>
              <w:autoSpaceDN w:val="0"/>
              <w:adjustRightInd w:val="0"/>
              <w:ind w:left="1276"/>
              <w:jc w:val="both"/>
              <w:rPr>
                <w:rFonts w:eastAsia="MS Mincho"/>
                <w:i/>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INVOLCAN-20-15</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GeoTenerife</w:t>
            </w:r>
            <w:proofErr w:type="spellEnd"/>
            <w:r w:rsidRPr="00AA5294">
              <w:rPr>
                <w:rFonts w:eastAsia="MS Mincho"/>
                <w:sz w:val="16"/>
                <w:szCs w:val="16"/>
                <w:lang w:eastAsia="ja-JP"/>
              </w:rPr>
              <w:t xml:space="preserve">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Desde el año 2014 hasta la actualidad</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Investigadores Principales:</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r w:rsidRPr="00AA5294">
              <w:rPr>
                <w:rFonts w:eastAsia="MS Mincho"/>
                <w:sz w:val="16"/>
                <w:szCs w:val="16"/>
                <w:lang w:eastAsia="ja-JP"/>
              </w:rPr>
              <w:t xml:space="preserve"> &amp; Dr. Nemesio M. Pérez</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En el marco de este proyecto estudiantes universitarios realizan prácticas formativas en el INVOLCAN. Desde el año 2014, en el marco del Programa </w:t>
            </w:r>
            <w:proofErr w:type="spellStart"/>
            <w:r w:rsidRPr="00AA5294">
              <w:rPr>
                <w:rFonts w:eastAsia="MS Mincho"/>
                <w:sz w:val="16"/>
                <w:szCs w:val="16"/>
                <w:lang w:eastAsia="ja-JP"/>
              </w:rPr>
              <w:t>GeoIntern</w:t>
            </w:r>
            <w:proofErr w:type="spellEnd"/>
            <w:r w:rsidRPr="00AA5294">
              <w:rPr>
                <w:rFonts w:eastAsia="MS Mincho"/>
                <w:sz w:val="16"/>
                <w:szCs w:val="16"/>
                <w:lang w:eastAsia="ja-JP"/>
              </w:rPr>
              <w:t xml:space="preserve"> de la empresa Británica </w:t>
            </w:r>
            <w:proofErr w:type="spellStart"/>
            <w:r w:rsidRPr="00AA5294">
              <w:rPr>
                <w:rFonts w:eastAsia="MS Mincho"/>
                <w:sz w:val="16"/>
                <w:szCs w:val="16"/>
                <w:lang w:eastAsia="ja-JP"/>
              </w:rPr>
              <w:t>GeoTenerife</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Ltd</w:t>
            </w:r>
            <w:proofErr w:type="spellEnd"/>
            <w:r w:rsidRPr="00AA5294">
              <w:rPr>
                <w:rFonts w:eastAsia="MS Mincho"/>
                <w:sz w:val="16"/>
                <w:szCs w:val="16"/>
                <w:lang w:eastAsia="ja-JP"/>
              </w:rPr>
              <w:t xml:space="preserve"> en colaboración con el INVOLCAN, un total de 169 estudiantes universitarios procedentes de universidades extranjeras, principalmente de </w:t>
            </w:r>
            <w:proofErr w:type="spellStart"/>
            <w:r w:rsidRPr="00AA5294">
              <w:rPr>
                <w:rFonts w:eastAsia="MS Mincho"/>
                <w:sz w:val="16"/>
                <w:szCs w:val="16"/>
                <w:lang w:eastAsia="ja-JP"/>
              </w:rPr>
              <w:t>Canada</w:t>
            </w:r>
            <w:proofErr w:type="spellEnd"/>
            <w:r w:rsidRPr="00AA5294">
              <w:rPr>
                <w:rFonts w:eastAsia="MS Mincho"/>
                <w:sz w:val="16"/>
                <w:szCs w:val="16"/>
                <w:lang w:eastAsia="ja-JP"/>
              </w:rPr>
              <w:t xml:space="preserve">, EE.UU. de América y Reino Unido, han podido realizar prácticas de iniciación a la investigación de unas 4 semanas de duración durante los meses de verano (junio, julio, agosto y septiembre). Para el año 2020 se tiene previsto que del orden de unos 40 estudiantes hagan sus </w:t>
            </w:r>
            <w:proofErr w:type="spellStart"/>
            <w:proofErr w:type="gramStart"/>
            <w:r w:rsidRPr="00AA5294">
              <w:rPr>
                <w:rFonts w:eastAsia="MS Mincho"/>
                <w:sz w:val="16"/>
                <w:szCs w:val="16"/>
                <w:lang w:eastAsia="ja-JP"/>
              </w:rPr>
              <w:t>practicas</w:t>
            </w:r>
            <w:proofErr w:type="spellEnd"/>
            <w:proofErr w:type="gramEnd"/>
            <w:r w:rsidRPr="00AA5294">
              <w:rPr>
                <w:rFonts w:eastAsia="MS Mincho"/>
                <w:sz w:val="16"/>
                <w:szCs w:val="16"/>
                <w:lang w:eastAsia="ja-JP"/>
              </w:rPr>
              <w:t xml:space="preserve"> formativas en el INVOLCAN.</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autoSpaceDE w:val="0"/>
              <w:autoSpaceDN w:val="0"/>
              <w:adjustRightInd w:val="0"/>
              <w:jc w:val="both"/>
              <w:rPr>
                <w:rFonts w:eastAsia="MS Mincho"/>
                <w:b/>
                <w:bCs/>
                <w:sz w:val="16"/>
                <w:szCs w:val="16"/>
                <w:lang w:eastAsia="ja-JP"/>
              </w:rPr>
            </w:pPr>
            <w:r w:rsidRPr="00AA5294">
              <w:rPr>
                <w:rFonts w:eastAsia="MS Mincho"/>
                <w:sz w:val="16"/>
                <w:szCs w:val="16"/>
                <w:lang w:eastAsia="ja-JP"/>
              </w:rPr>
              <w:t>Proyecto #22.</w:t>
            </w:r>
            <w:r w:rsidRPr="00AA5294">
              <w:rPr>
                <w:rFonts w:eastAsia="MS Mincho"/>
                <w:b/>
                <w:bCs/>
                <w:sz w:val="16"/>
                <w:szCs w:val="16"/>
                <w:lang w:eastAsia="ja-JP"/>
              </w:rPr>
              <w:t xml:space="preserve"> ANÁLISIS DE DATOS SISMICOS </w:t>
            </w:r>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Presupuesto:</w:t>
            </w:r>
            <w:r w:rsidRPr="00AA5294">
              <w:rPr>
                <w:rFonts w:eastAsia="MS Mincho"/>
                <w:sz w:val="16"/>
                <w:szCs w:val="16"/>
                <w:lang w:eastAsia="ja-JP"/>
              </w:rPr>
              <w:t xml:space="preserve"> 21.693,46 € (año 2020)</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Financiación:</w:t>
            </w:r>
            <w:r w:rsidRPr="00AA5294">
              <w:rPr>
                <w:rFonts w:eastAsia="MS Mincho"/>
                <w:sz w:val="16"/>
                <w:szCs w:val="16"/>
                <w:lang w:eastAsia="ja-JP"/>
              </w:rPr>
              <w:t xml:space="preserve"> Plan Nacional de I+D 2017-2020 (13.000,00 €), INVOLCAN (8.693,46 €)</w:t>
            </w:r>
          </w:p>
          <w:p w:rsidR="00AA5294" w:rsidRPr="00AA5294" w:rsidRDefault="00AA5294" w:rsidP="00AA5294">
            <w:pPr>
              <w:autoSpaceDE w:val="0"/>
              <w:autoSpaceDN w:val="0"/>
              <w:adjustRightInd w:val="0"/>
              <w:ind w:left="1276"/>
              <w:jc w:val="both"/>
              <w:rPr>
                <w:rFonts w:eastAsia="MS Mincho"/>
                <w:iCs/>
                <w:sz w:val="16"/>
                <w:szCs w:val="16"/>
                <w:lang w:eastAsia="ja-JP"/>
              </w:rPr>
            </w:pPr>
            <w:r w:rsidRPr="00AA5294">
              <w:rPr>
                <w:rFonts w:eastAsia="MS Mincho"/>
                <w:i/>
                <w:iCs/>
                <w:sz w:val="16"/>
                <w:szCs w:val="16"/>
                <w:lang w:eastAsia="ja-JP"/>
              </w:rPr>
              <w:t xml:space="preserve">Referencia: </w:t>
            </w:r>
            <w:r w:rsidRPr="00AA5294">
              <w:rPr>
                <w:rFonts w:eastAsia="MS Mincho"/>
                <w:iCs/>
                <w:sz w:val="16"/>
                <w:szCs w:val="16"/>
                <w:lang w:eastAsia="ja-JP"/>
              </w:rPr>
              <w:t>PTA2018-015524-I</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PTA_Rubén</w:t>
            </w:r>
            <w:proofErr w:type="spellEnd"/>
            <w:r w:rsidRPr="00AA5294">
              <w:rPr>
                <w:rFonts w:eastAsia="MS Mincho"/>
                <w:sz w:val="16"/>
                <w:szCs w:val="16"/>
                <w:lang w:eastAsia="ja-JP"/>
              </w:rPr>
              <w:t xml:space="preserve"> Hernández García </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Duración:</w:t>
            </w:r>
            <w:r w:rsidRPr="00AA5294">
              <w:rPr>
                <w:rFonts w:eastAsia="MS Mincho"/>
                <w:sz w:val="16"/>
                <w:szCs w:val="16"/>
                <w:lang w:eastAsia="ja-JP"/>
              </w:rPr>
              <w:t xml:space="preserve"> 2019-2022</w:t>
            </w:r>
          </w:p>
          <w:p w:rsidR="00AA5294" w:rsidRPr="00AA5294" w:rsidRDefault="00AA5294" w:rsidP="00AA5294">
            <w:pPr>
              <w:autoSpaceDE w:val="0"/>
              <w:autoSpaceDN w:val="0"/>
              <w:adjustRightInd w:val="0"/>
              <w:ind w:left="1276"/>
              <w:jc w:val="both"/>
              <w:rPr>
                <w:rFonts w:eastAsia="MS Mincho"/>
                <w:sz w:val="16"/>
                <w:szCs w:val="16"/>
                <w:lang w:eastAsia="ja-JP"/>
              </w:rPr>
            </w:pPr>
            <w:r w:rsidRPr="00AA5294">
              <w:rPr>
                <w:rFonts w:eastAsia="MS Mincho"/>
                <w:i/>
                <w:iCs/>
                <w:sz w:val="16"/>
                <w:szCs w:val="16"/>
                <w:lang w:eastAsia="ja-JP"/>
              </w:rPr>
              <w:t>Investigador Principal:</w:t>
            </w:r>
            <w:r w:rsidRPr="00AA5294">
              <w:rPr>
                <w:rFonts w:eastAsia="MS Mincho"/>
                <w:sz w:val="16"/>
                <w:szCs w:val="16"/>
                <w:lang w:eastAsia="ja-JP"/>
              </w:rPr>
              <w:t xml:space="preserve"> Dr. Luca </w:t>
            </w:r>
            <w:proofErr w:type="spellStart"/>
            <w:r w:rsidRPr="00AA5294">
              <w:rPr>
                <w:rFonts w:eastAsia="MS Mincho"/>
                <w:sz w:val="16"/>
                <w:szCs w:val="16"/>
                <w:lang w:eastAsia="ja-JP"/>
              </w:rPr>
              <w:t>D’Auria</w:t>
            </w:r>
            <w:proofErr w:type="spellEnd"/>
          </w:p>
          <w:p w:rsidR="00AA5294" w:rsidRPr="00AA5294" w:rsidRDefault="00AA5294" w:rsidP="00AA5294">
            <w:pPr>
              <w:autoSpaceDE w:val="0"/>
              <w:autoSpaceDN w:val="0"/>
              <w:adjustRightInd w:val="0"/>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Para lograr una mejora en el sistema de prestaciones y rendimiento de las infraestructuras científico-tecnológicas de los Centros de I+D, a través de instalaciones e infraestructuras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la labor a realizar por el técnico contratado será el análisis de los datos sísmicos registrados por la Red Sísmica Canaria (en la actualidad compuesta por 28 estaciones) operada por la entidad solicitante, el Instituto Volcanológico de Canarias (INVOLCAN). Cuyo fin es la monitorización de la actividad volcánica y tectónica regional, principalmente alrededor del archipiélago canario. Desde su puesta en marcha en noviembre de 2016, se registraron en continuo las señales sísmicas, acumulando una cantidad de datos superior a 1Tb. El análisis de los datos conlleva la detección de los terremotos, mediante la interpretación de los sismogramas y/o espectrogramas, discriminando los eventos reales de las señales generadoras de ruido. Asimismo, se realiza la localización </w:t>
            </w:r>
            <w:proofErr w:type="spellStart"/>
            <w:r w:rsidRPr="00AA5294">
              <w:rPr>
                <w:rFonts w:eastAsia="MS Mincho"/>
                <w:sz w:val="16"/>
                <w:szCs w:val="16"/>
                <w:lang w:eastAsia="ja-JP"/>
              </w:rPr>
              <w:t>hipocentral</w:t>
            </w:r>
            <w:proofErr w:type="spellEnd"/>
            <w:r w:rsidRPr="00AA5294">
              <w:rPr>
                <w:rFonts w:eastAsia="MS Mincho"/>
                <w:sz w:val="16"/>
                <w:szCs w:val="16"/>
                <w:lang w:eastAsia="ja-JP"/>
              </w:rPr>
              <w:t xml:space="preserve"> de los eventos previamente detectados. Aunque existen algoritmos de detección y localización automática, la mayoría de los terremotos de pequeña magnitud aún requieren un análisis manual del personal técnico especializado. La localización se gestiona mediante software especializado y de diferentes algoritmos ya implementados. Paralelamente, se extraen datos importantes como la magnitud del evento o, incluso, el mecanismo focal del mismo, que dan información útil sobre los esfuerzos tectónicos o volcánicos que actúan en la zona del hipocentro. Se necesita determinar las posibles fuentes sísmicas. Es crítico, en zonas donde la actividad volcánica interacciona con el campo de esfuerzos, poder reconocerlas e interpretarlas correctamente, al tener implicaciones muy diversas sobre la vigilancia sísmica y/o volcánica del territorio. Tanto en la detección como en la localización es importante la experiencia del técnico, particularmente durante la ocurrencia de enjambres sísmicos, es decir, sucesiones de numerosos eventos en periodos relativamente cortos de tiempo, la rapidez es un factor importante. Igualmente, lo es la eficacia, pues, tanto ahora, como con la </w:t>
            </w:r>
            <w:proofErr w:type="spellStart"/>
            <w:r w:rsidRPr="00AA5294">
              <w:rPr>
                <w:rFonts w:eastAsia="MS Mincho"/>
                <w:sz w:val="16"/>
                <w:szCs w:val="16"/>
                <w:lang w:eastAsia="ja-JP"/>
              </w:rPr>
              <w:t>microsismicidad</w:t>
            </w:r>
            <w:proofErr w:type="spellEnd"/>
            <w:r w:rsidRPr="00AA5294">
              <w:rPr>
                <w:rFonts w:eastAsia="MS Mincho"/>
                <w:sz w:val="16"/>
                <w:szCs w:val="16"/>
                <w:lang w:eastAsia="ja-JP"/>
              </w:rPr>
              <w:t xml:space="preserve">, la capacidad para identificar el momento de llegada de los diferentes tipos de ondas sísmicas se dificulta por el bajo ratio en la calidad de señal/ruido; detalle </w:t>
            </w:r>
            <w:proofErr w:type="spellStart"/>
            <w:r w:rsidRPr="00AA5294">
              <w:rPr>
                <w:rFonts w:eastAsia="MS Mincho"/>
                <w:sz w:val="16"/>
                <w:szCs w:val="16"/>
                <w:lang w:eastAsia="ja-JP"/>
              </w:rPr>
              <w:t>solventable</w:t>
            </w:r>
            <w:proofErr w:type="spellEnd"/>
            <w:r w:rsidRPr="00AA5294">
              <w:rPr>
                <w:rFonts w:eastAsia="MS Mincho"/>
                <w:sz w:val="16"/>
                <w:szCs w:val="16"/>
                <w:lang w:eastAsia="ja-JP"/>
              </w:rPr>
              <w:t xml:space="preserve"> mediante algoritmos de filtrado o de detección/localización automáticos y de técnicas estadísticas, como podría ser el parámetro b de la ley de Gutenberg Richter, entre otros.</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Proyecto #23. </w:t>
            </w:r>
            <w:r w:rsidRPr="00AA5294">
              <w:rPr>
                <w:rFonts w:eastAsia="MS Mincho"/>
                <w:b/>
                <w:bCs/>
                <w:sz w:val="16"/>
                <w:szCs w:val="16"/>
                <w:lang w:eastAsia="ja-JP"/>
              </w:rPr>
              <w:t>EXPLORACIÓN DE EMISIONES SUBMARINAS DE FLUIDOS HIDROTERMALES, MINERALIZACIONES Y GEOBIO-SISTEMAS ASOCIADOS **</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Presupuesto:</w:t>
            </w:r>
            <w:r w:rsidRPr="00AA5294">
              <w:rPr>
                <w:rFonts w:eastAsia="MS Mincho"/>
                <w:sz w:val="16"/>
                <w:szCs w:val="16"/>
                <w:lang w:eastAsia="ja-JP"/>
              </w:rPr>
              <w:t xml:space="preserve"> 160.000,00 € (total)</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Financiación:</w:t>
            </w:r>
            <w:r w:rsidRPr="00AA5294">
              <w:rPr>
                <w:rFonts w:eastAsia="MS Mincho"/>
                <w:sz w:val="16"/>
                <w:szCs w:val="16"/>
                <w:lang w:eastAsia="ja-JP"/>
              </w:rPr>
              <w:t xml:space="preserve"> Programa Estatal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Orientada a los Retos de la Sociedad (Modalidad                  </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Individual) del Plan Nacional de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2013-2016 (100%)</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Referencia:</w:t>
            </w:r>
            <w:r w:rsidRPr="00AA5294">
              <w:rPr>
                <w:rFonts w:eastAsia="MS Mincho"/>
                <w:sz w:val="16"/>
                <w:szCs w:val="16"/>
                <w:lang w:eastAsia="ja-JP"/>
              </w:rPr>
              <w:t xml:space="preserve"> CTM2016-75947-R</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Acrónimo:</w:t>
            </w:r>
            <w:r w:rsidRPr="00AA5294">
              <w:rPr>
                <w:rFonts w:eastAsia="MS Mincho"/>
                <w:sz w:val="16"/>
                <w:szCs w:val="16"/>
                <w:lang w:eastAsia="ja-JP"/>
              </w:rPr>
              <w:t xml:space="preserve"> EXPLOSEA </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Duración:</w:t>
            </w:r>
            <w:r w:rsidRPr="00AA5294">
              <w:rPr>
                <w:rFonts w:eastAsia="MS Mincho"/>
                <w:sz w:val="16"/>
                <w:szCs w:val="16"/>
                <w:lang w:eastAsia="ja-JP"/>
              </w:rPr>
              <w:t xml:space="preserve"> 2017-2020 (4 años)</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Investigador Principal IGME:</w:t>
            </w:r>
            <w:r w:rsidRPr="00AA5294">
              <w:rPr>
                <w:rFonts w:eastAsia="MS Mincho"/>
                <w:sz w:val="16"/>
                <w:szCs w:val="16"/>
                <w:lang w:eastAsia="ja-JP"/>
              </w:rPr>
              <w:t xml:space="preserve"> Dr. Luis Somoza </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Investigadora Principal INVOLCAN:</w:t>
            </w:r>
            <w:r w:rsidRPr="00AA5294">
              <w:rPr>
                <w:rFonts w:eastAsia="MS Mincho"/>
                <w:sz w:val="16"/>
                <w:szCs w:val="16"/>
                <w:lang w:eastAsia="ja-JP"/>
              </w:rPr>
              <w:t xml:space="preserve"> Dra. María Asensio-Ramos</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Este proyecto plantea la investigación interdisciplinar de emisiones submarinas de fluidos hidrotermales y sus depósitos minerales asociados en dos regiones con importante actividad volcánica submarina: i) Azores-Canarias y ii) Shetland del Sur (Antártida). Las emisiones hidrotermales implican la existencia de fuentes de calor relacionadas con reservorios de magma que se pueden desarrollar tanto en zonas </w:t>
            </w:r>
            <w:proofErr w:type="spellStart"/>
            <w:r w:rsidRPr="00AA5294">
              <w:rPr>
                <w:rFonts w:eastAsia="MS Mincho"/>
                <w:sz w:val="16"/>
                <w:szCs w:val="16"/>
                <w:lang w:eastAsia="ja-JP"/>
              </w:rPr>
              <w:t>intraplaca</w:t>
            </w:r>
            <w:proofErr w:type="spellEnd"/>
            <w:r w:rsidRPr="00AA5294">
              <w:rPr>
                <w:rFonts w:eastAsia="MS Mincho"/>
                <w:sz w:val="16"/>
                <w:szCs w:val="16"/>
                <w:lang w:eastAsia="ja-JP"/>
              </w:rPr>
              <w:t xml:space="preserve"> (Azores-Canarias) como en márgenes convergentes (</w:t>
            </w:r>
            <w:proofErr w:type="spellStart"/>
            <w:r w:rsidRPr="00AA5294">
              <w:rPr>
                <w:rFonts w:eastAsia="MS Mincho"/>
                <w:sz w:val="16"/>
                <w:szCs w:val="16"/>
                <w:lang w:eastAsia="ja-JP"/>
              </w:rPr>
              <w:t>Bransfield</w:t>
            </w:r>
            <w:proofErr w:type="spellEnd"/>
            <w:r w:rsidRPr="00AA5294">
              <w:rPr>
                <w:rFonts w:eastAsia="MS Mincho"/>
                <w:sz w:val="16"/>
                <w:szCs w:val="16"/>
                <w:lang w:eastAsia="ja-JP"/>
              </w:rPr>
              <w:t xml:space="preserve">-Shetland del Sur). La importancia de estas emisiones radica en su influencia en el cambio global por emisión de gases volcánicos y metano derivado de hidratos/permafrost submarino, en producir importantes mineralizaciones, en favorecer ecosistemas </w:t>
            </w:r>
            <w:proofErr w:type="spellStart"/>
            <w:r w:rsidRPr="00AA5294">
              <w:rPr>
                <w:rFonts w:eastAsia="MS Mincho"/>
                <w:sz w:val="16"/>
                <w:szCs w:val="16"/>
                <w:lang w:eastAsia="ja-JP"/>
              </w:rPr>
              <w:t>extremófilos</w:t>
            </w:r>
            <w:proofErr w:type="spellEnd"/>
            <w:r w:rsidRPr="00AA5294">
              <w:rPr>
                <w:rFonts w:eastAsia="MS Mincho"/>
                <w:sz w:val="16"/>
                <w:szCs w:val="16"/>
                <w:lang w:eastAsia="ja-JP"/>
              </w:rPr>
              <w:t xml:space="preserve"> y ser precursores de erupciones volcánicas submarinas y por aportar información de la corteza y manto terrestre. Los objetivos del proyecto son: 1) Detectar emisiones hidrotermales; 2) Caracterizar la morfología y arquitectura de los sistemas de migración de fluidos hidrotermales y la deformación activa de los fondos marinos; 3) Estudiar la sedimentología y petrología de los edificios de las emisiones submarinas 4) Estudiar las (</w:t>
            </w:r>
            <w:proofErr w:type="spellStart"/>
            <w:r w:rsidRPr="00AA5294">
              <w:rPr>
                <w:rFonts w:eastAsia="MS Mincho"/>
                <w:sz w:val="16"/>
                <w:szCs w:val="16"/>
                <w:lang w:eastAsia="ja-JP"/>
              </w:rPr>
              <w:t>bio</w:t>
            </w:r>
            <w:proofErr w:type="spellEnd"/>
            <w:r w:rsidRPr="00AA5294">
              <w:rPr>
                <w:rFonts w:eastAsia="MS Mincho"/>
                <w:sz w:val="16"/>
                <w:szCs w:val="16"/>
                <w:lang w:eastAsia="ja-JP"/>
              </w:rPr>
              <w:t xml:space="preserve">)-mineralizaciones y organismos </w:t>
            </w:r>
            <w:proofErr w:type="spellStart"/>
            <w:r w:rsidRPr="00AA5294">
              <w:rPr>
                <w:rFonts w:eastAsia="MS Mincho"/>
                <w:sz w:val="16"/>
                <w:szCs w:val="16"/>
                <w:lang w:eastAsia="ja-JP"/>
              </w:rPr>
              <w:t>extremófilos</w:t>
            </w:r>
            <w:proofErr w:type="spellEnd"/>
            <w:r w:rsidRPr="00AA5294">
              <w:rPr>
                <w:rFonts w:eastAsia="MS Mincho"/>
                <w:sz w:val="16"/>
                <w:szCs w:val="16"/>
                <w:lang w:eastAsia="ja-JP"/>
              </w:rPr>
              <w:t xml:space="preserve"> asociados y 5) Establecer modelos evolutivos y realizar el análisis comparativo de las emisiones hidrotermales en latitudes medias y polares, y el papel potencial de estas emisiones en la desestabilización de hidratos de gas en la Antártida. En la región de la </w:t>
            </w:r>
            <w:proofErr w:type="spellStart"/>
            <w:r w:rsidRPr="00AA5294">
              <w:rPr>
                <w:rFonts w:eastAsia="MS Mincho"/>
                <w:sz w:val="16"/>
                <w:szCs w:val="16"/>
                <w:lang w:eastAsia="ja-JP"/>
              </w:rPr>
              <w:t>Macaronesia</w:t>
            </w:r>
            <w:proofErr w:type="spellEnd"/>
            <w:r w:rsidRPr="00AA5294">
              <w:rPr>
                <w:rFonts w:eastAsia="MS Mincho"/>
                <w:sz w:val="16"/>
                <w:szCs w:val="16"/>
                <w:lang w:eastAsia="ja-JP"/>
              </w:rPr>
              <w:t xml:space="preserve"> se pretende estudiar en un </w:t>
            </w:r>
            <w:proofErr w:type="spellStart"/>
            <w:r w:rsidRPr="00AA5294">
              <w:rPr>
                <w:rFonts w:eastAsia="MS Mincho"/>
                <w:sz w:val="16"/>
                <w:szCs w:val="16"/>
                <w:lang w:eastAsia="ja-JP"/>
              </w:rPr>
              <w:t>transecto</w:t>
            </w:r>
            <w:proofErr w:type="spellEnd"/>
            <w:r w:rsidRPr="00AA5294">
              <w:rPr>
                <w:rFonts w:eastAsia="MS Mincho"/>
                <w:sz w:val="16"/>
                <w:szCs w:val="16"/>
                <w:lang w:eastAsia="ja-JP"/>
              </w:rPr>
              <w:t xml:space="preserve"> entre el margen africano y la dorsal atlántica, cruzando Azores y Canarias: a) Actividad hidrotermal en un sector de la dorsal </w:t>
            </w:r>
            <w:proofErr w:type="spellStart"/>
            <w:r w:rsidRPr="00AA5294">
              <w:rPr>
                <w:rFonts w:eastAsia="MS Mincho"/>
                <w:sz w:val="16"/>
                <w:szCs w:val="16"/>
                <w:lang w:eastAsia="ja-JP"/>
              </w:rPr>
              <w:t>nortatlántica</w:t>
            </w:r>
            <w:proofErr w:type="spellEnd"/>
            <w:r w:rsidRPr="00AA5294">
              <w:rPr>
                <w:rFonts w:eastAsia="MS Mincho"/>
                <w:sz w:val="16"/>
                <w:szCs w:val="16"/>
                <w:lang w:eastAsia="ja-JP"/>
              </w:rPr>
              <w:t xml:space="preserve">; b) Actividad hidrotermal de baja temperatura con emisiones de metano </w:t>
            </w:r>
            <w:proofErr w:type="spellStart"/>
            <w:r w:rsidRPr="00AA5294">
              <w:rPr>
                <w:rFonts w:eastAsia="MS Mincho"/>
                <w:sz w:val="16"/>
                <w:szCs w:val="16"/>
                <w:lang w:eastAsia="ja-JP"/>
              </w:rPr>
              <w:t>abiogénico</w:t>
            </w:r>
            <w:proofErr w:type="spellEnd"/>
            <w:r w:rsidRPr="00AA5294">
              <w:rPr>
                <w:rFonts w:eastAsia="MS Mincho"/>
                <w:sz w:val="16"/>
                <w:szCs w:val="16"/>
                <w:lang w:eastAsia="ja-JP"/>
              </w:rPr>
              <w:t xml:space="preserve"> por </w:t>
            </w:r>
            <w:proofErr w:type="spellStart"/>
            <w:r w:rsidRPr="00AA5294">
              <w:rPr>
                <w:rFonts w:eastAsia="MS Mincho"/>
                <w:sz w:val="16"/>
                <w:szCs w:val="16"/>
                <w:lang w:eastAsia="ja-JP"/>
              </w:rPr>
              <w:t>serpentinización</w:t>
            </w:r>
            <w:proofErr w:type="spellEnd"/>
            <w:r w:rsidRPr="00AA5294">
              <w:rPr>
                <w:rFonts w:eastAsia="MS Mincho"/>
                <w:sz w:val="16"/>
                <w:szCs w:val="16"/>
                <w:lang w:eastAsia="ja-JP"/>
              </w:rPr>
              <w:t xml:space="preserve"> de corteza oceánica en zona </w:t>
            </w:r>
            <w:proofErr w:type="spellStart"/>
            <w:r w:rsidRPr="00AA5294">
              <w:rPr>
                <w:rFonts w:eastAsia="MS Mincho"/>
                <w:sz w:val="16"/>
                <w:szCs w:val="16"/>
                <w:lang w:eastAsia="ja-JP"/>
              </w:rPr>
              <w:t>intraplaca</w:t>
            </w:r>
            <w:proofErr w:type="spellEnd"/>
            <w:r w:rsidRPr="00AA5294">
              <w:rPr>
                <w:rFonts w:eastAsia="MS Mincho"/>
                <w:sz w:val="16"/>
                <w:szCs w:val="16"/>
                <w:lang w:eastAsia="ja-JP"/>
              </w:rPr>
              <w:t xml:space="preserve">; c) Emisiones hidrotermales relacionadas con volcanes submarinos profundos </w:t>
            </w:r>
            <w:proofErr w:type="spellStart"/>
            <w:r w:rsidRPr="00AA5294">
              <w:rPr>
                <w:rFonts w:eastAsia="MS Mincho"/>
                <w:sz w:val="16"/>
                <w:szCs w:val="16"/>
                <w:lang w:eastAsia="ja-JP"/>
              </w:rPr>
              <w:t>intraplaca</w:t>
            </w:r>
            <w:proofErr w:type="spellEnd"/>
            <w:r w:rsidRPr="00AA5294">
              <w:rPr>
                <w:rFonts w:eastAsia="MS Mincho"/>
                <w:sz w:val="16"/>
                <w:szCs w:val="16"/>
                <w:lang w:eastAsia="ja-JP"/>
              </w:rPr>
              <w:t xml:space="preserve">; d) Volcanes submarinos próximos al complejo de </w:t>
            </w:r>
            <w:proofErr w:type="spellStart"/>
            <w:r w:rsidRPr="00AA5294">
              <w:rPr>
                <w:rFonts w:eastAsia="MS Mincho"/>
                <w:sz w:val="16"/>
                <w:szCs w:val="16"/>
                <w:lang w:eastAsia="ja-JP"/>
              </w:rPr>
              <w:t>Timanfaya</w:t>
            </w:r>
            <w:proofErr w:type="spellEnd"/>
            <w:r w:rsidRPr="00AA5294">
              <w:rPr>
                <w:rFonts w:eastAsia="MS Mincho"/>
                <w:sz w:val="16"/>
                <w:szCs w:val="16"/>
                <w:lang w:eastAsia="ja-JP"/>
              </w:rPr>
              <w:t xml:space="preserve">. En la Antártida se pretende explorar: a) Emisiones hidrotermales en la Isla Decepción; b) Emisiones hidrotermales en los volcanes submarinos de la dorsal de </w:t>
            </w:r>
            <w:proofErr w:type="spellStart"/>
            <w:r w:rsidRPr="00AA5294">
              <w:rPr>
                <w:rFonts w:eastAsia="MS Mincho"/>
                <w:sz w:val="16"/>
                <w:szCs w:val="16"/>
                <w:lang w:eastAsia="ja-JP"/>
              </w:rPr>
              <w:t>Bransfield</w:t>
            </w:r>
            <w:proofErr w:type="spellEnd"/>
            <w:r w:rsidRPr="00AA5294">
              <w:rPr>
                <w:rFonts w:eastAsia="MS Mincho"/>
                <w:sz w:val="16"/>
                <w:szCs w:val="16"/>
                <w:lang w:eastAsia="ja-JP"/>
              </w:rPr>
              <w:t xml:space="preserve">; c) Estructuras de desestabilización del permafrost submarino (cráteres, </w:t>
            </w:r>
            <w:proofErr w:type="spellStart"/>
            <w:r w:rsidRPr="00AA5294">
              <w:rPr>
                <w:rFonts w:eastAsia="MS Mincho"/>
                <w:sz w:val="16"/>
                <w:szCs w:val="16"/>
                <w:lang w:eastAsia="ja-JP"/>
              </w:rPr>
              <w:t>mounds</w:t>
            </w:r>
            <w:proofErr w:type="spellEnd"/>
            <w:r w:rsidRPr="00AA5294">
              <w:rPr>
                <w:rFonts w:eastAsia="MS Mincho"/>
                <w:sz w:val="16"/>
                <w:szCs w:val="16"/>
                <w:lang w:eastAsia="ja-JP"/>
              </w:rPr>
              <w:t xml:space="preserve">) por emisiones hidrotermales (I. Livingston); y d) Desestabilización de hidratos de gas por fluidos hidrotermales en el prisma de </w:t>
            </w:r>
            <w:proofErr w:type="spellStart"/>
            <w:r w:rsidRPr="00AA5294">
              <w:rPr>
                <w:rFonts w:eastAsia="MS Mincho"/>
                <w:sz w:val="16"/>
                <w:szCs w:val="16"/>
                <w:lang w:eastAsia="ja-JP"/>
              </w:rPr>
              <w:t>acrección</w:t>
            </w:r>
            <w:proofErr w:type="spellEnd"/>
            <w:r w:rsidRPr="00AA5294">
              <w:rPr>
                <w:rFonts w:eastAsia="MS Mincho"/>
                <w:sz w:val="16"/>
                <w:szCs w:val="16"/>
                <w:lang w:eastAsia="ja-JP"/>
              </w:rPr>
              <w:t xml:space="preserve"> de las I. Shetland del Sur.</w:t>
            </w:r>
          </w:p>
          <w:p w:rsidR="009026F6" w:rsidRDefault="00AA5294" w:rsidP="00AA5294">
            <w:pPr>
              <w:jc w:val="both"/>
              <w:rPr>
                <w:rFonts w:eastAsia="MS Mincho"/>
                <w:sz w:val="16"/>
                <w:szCs w:val="16"/>
                <w:lang w:eastAsia="ja-JP"/>
              </w:rPr>
            </w:pPr>
            <w:r w:rsidRPr="00AA5294">
              <w:rPr>
                <w:rFonts w:eastAsia="MS Mincho"/>
                <w:sz w:val="16"/>
                <w:szCs w:val="16"/>
                <w:lang w:eastAsia="ja-JP"/>
              </w:rPr>
              <w:t>Este proyecto se enmarca en el reto 2: ".Sostenibilidad de recursos marinos e investigación marina" identificado en la Estrategia Española de Ciencia y Tecnología. Además, este proyecto pretende servir de base para nuclear un grupo competitivo de investigación para abordar a través del Horizonte 2020 uno de los retos prioritarios: "</w:t>
            </w:r>
            <w:proofErr w:type="spellStart"/>
            <w:r w:rsidRPr="00AA5294">
              <w:rPr>
                <w:rFonts w:eastAsia="MS Mincho"/>
                <w:sz w:val="16"/>
                <w:szCs w:val="16"/>
                <w:lang w:eastAsia="ja-JP"/>
              </w:rPr>
              <w:t>Seabed</w:t>
            </w:r>
            <w:proofErr w:type="spellEnd"/>
            <w:r w:rsidRPr="00AA5294">
              <w:rPr>
                <w:rFonts w:eastAsia="MS Mincho"/>
                <w:sz w:val="16"/>
                <w:szCs w:val="16"/>
                <w:lang w:eastAsia="ja-JP"/>
              </w:rPr>
              <w:t xml:space="preserve"> and </w:t>
            </w:r>
            <w:proofErr w:type="spellStart"/>
            <w:r w:rsidRPr="00AA5294">
              <w:rPr>
                <w:rFonts w:eastAsia="MS Mincho"/>
                <w:sz w:val="16"/>
                <w:szCs w:val="16"/>
                <w:lang w:eastAsia="ja-JP"/>
              </w:rPr>
              <w:t>seabed</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habitat</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mapping</w:t>
            </w:r>
            <w:proofErr w:type="spellEnd"/>
            <w:r w:rsidRPr="00AA5294">
              <w:rPr>
                <w:rFonts w:eastAsia="MS Mincho"/>
                <w:sz w:val="16"/>
                <w:szCs w:val="16"/>
                <w:lang w:eastAsia="ja-JP"/>
              </w:rPr>
              <w:t xml:space="preserve">", definidos por la </w:t>
            </w:r>
            <w:proofErr w:type="spellStart"/>
            <w:r w:rsidRPr="00AA5294">
              <w:rPr>
                <w:rFonts w:eastAsia="MS Mincho"/>
                <w:sz w:val="16"/>
                <w:szCs w:val="16"/>
                <w:lang w:eastAsia="ja-JP"/>
              </w:rPr>
              <w:t>Atlantic</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Ocean</w:t>
            </w:r>
            <w:proofErr w:type="spellEnd"/>
            <w:r w:rsidRPr="00AA5294">
              <w:rPr>
                <w:rFonts w:eastAsia="MS Mincho"/>
                <w:sz w:val="16"/>
                <w:szCs w:val="16"/>
                <w:lang w:eastAsia="ja-JP"/>
              </w:rPr>
              <w:t xml:space="preserve"> </w:t>
            </w:r>
            <w:proofErr w:type="spellStart"/>
            <w:r w:rsidRPr="00AA5294">
              <w:rPr>
                <w:rFonts w:eastAsia="MS Mincho"/>
                <w:sz w:val="16"/>
                <w:szCs w:val="16"/>
                <w:lang w:eastAsia="ja-JP"/>
              </w:rPr>
              <w:t>Research</w:t>
            </w:r>
            <w:proofErr w:type="spellEnd"/>
            <w:r w:rsidRPr="00AA5294">
              <w:rPr>
                <w:rFonts w:eastAsia="MS Mincho"/>
                <w:sz w:val="16"/>
                <w:szCs w:val="16"/>
                <w:lang w:eastAsia="ja-JP"/>
              </w:rPr>
              <w:t xml:space="preserve"> </w:t>
            </w:r>
          </w:p>
          <w:p w:rsidR="009026F6" w:rsidRDefault="009026F6"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Alliance firmada en 2013 entre la Unión Europea (España, Francia, Irlanda, Portugal y Reino Unido), Canadá y Estados Unidos, y con participación de Brasil y Sudáfrica para el conocimiento del Océano Atlántico y sus recursos. Este proyecto apoya la sinergia creada entre España y Portugal para la cooperación científica a través del IGME y el EMEPC (Portugal) y que se ha visto reforzada recientemente por el uso de infraestructuras de investigación marina profunda como el ROV 6000 Luso en buques oceanográficos españoles. Además, el proyecto cuenta con el apoyo de investigadores de </w:t>
            </w:r>
            <w:proofErr w:type="spellStart"/>
            <w:r w:rsidRPr="00AA5294">
              <w:rPr>
                <w:rFonts w:eastAsia="MS Mincho"/>
                <w:sz w:val="16"/>
                <w:szCs w:val="16"/>
                <w:lang w:eastAsia="ja-JP"/>
              </w:rPr>
              <w:t>PharmaMar</w:t>
            </w:r>
            <w:proofErr w:type="spellEnd"/>
            <w:r w:rsidRPr="00AA5294">
              <w:rPr>
                <w:rFonts w:eastAsia="MS Mincho"/>
                <w:sz w:val="16"/>
                <w:szCs w:val="16"/>
                <w:lang w:eastAsia="ja-JP"/>
              </w:rPr>
              <w:t xml:space="preserve"> S.A., empresa </w:t>
            </w:r>
            <w:proofErr w:type="spellStart"/>
            <w:r w:rsidRPr="00AA5294">
              <w:rPr>
                <w:rFonts w:eastAsia="MS Mincho"/>
                <w:sz w:val="16"/>
                <w:szCs w:val="16"/>
                <w:lang w:eastAsia="ja-JP"/>
              </w:rPr>
              <w:t>I+D+i</w:t>
            </w:r>
            <w:proofErr w:type="spellEnd"/>
            <w:r w:rsidRPr="00AA5294">
              <w:rPr>
                <w:rFonts w:eastAsia="MS Mincho"/>
                <w:sz w:val="16"/>
                <w:szCs w:val="16"/>
                <w:lang w:eastAsia="ja-JP"/>
              </w:rPr>
              <w:t xml:space="preserve"> para el estudio de la biodiversidad microbiana de profundidad como agentes antitumorales.</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Proyecto #24. </w:t>
            </w:r>
            <w:r w:rsidRPr="00AA5294">
              <w:rPr>
                <w:rFonts w:eastAsia="MS Mincho"/>
                <w:b/>
                <w:bCs/>
                <w:sz w:val="16"/>
                <w:szCs w:val="16"/>
                <w:lang w:eastAsia="ja-JP"/>
              </w:rPr>
              <w:t>IMPULSO DE ECOSISTEMAS LOCALES PARA EL USO DE LA ENERGÍA GEOTÉRMICA EN LAS COMUNIDADES **</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Presupuesto:</w:t>
            </w:r>
            <w:r w:rsidRPr="00AA5294">
              <w:rPr>
                <w:rFonts w:eastAsia="MS Mincho"/>
                <w:sz w:val="16"/>
                <w:szCs w:val="16"/>
                <w:lang w:eastAsia="ja-JP"/>
              </w:rPr>
              <w:t xml:space="preserve"> 2.867.469,64 € (total socios); 210.502,28 € (total ITER)</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Financiación:</w:t>
            </w:r>
            <w:r w:rsidRPr="00AA5294">
              <w:rPr>
                <w:rFonts w:eastAsia="MS Mincho"/>
                <w:sz w:val="16"/>
                <w:szCs w:val="16"/>
                <w:lang w:eastAsia="ja-JP"/>
              </w:rPr>
              <w:t xml:space="preserve"> Programa INTERREG Espacio Atlántico (75%)</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Referencia:</w:t>
            </w:r>
            <w:r w:rsidRPr="00AA5294">
              <w:rPr>
                <w:rFonts w:eastAsia="MS Mincho"/>
                <w:sz w:val="16"/>
                <w:szCs w:val="16"/>
                <w:lang w:eastAsia="ja-JP"/>
              </w:rPr>
              <w:t xml:space="preserve"> EAPA_527/2016</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Acrónimo:</w:t>
            </w:r>
            <w:r w:rsidRPr="00AA5294">
              <w:rPr>
                <w:rFonts w:eastAsia="MS Mincho"/>
                <w:sz w:val="16"/>
                <w:szCs w:val="16"/>
                <w:lang w:eastAsia="ja-JP"/>
              </w:rPr>
              <w:t xml:space="preserve"> </w:t>
            </w:r>
            <w:proofErr w:type="spellStart"/>
            <w:r w:rsidRPr="00AA5294">
              <w:rPr>
                <w:rFonts w:eastAsia="MS Mincho"/>
                <w:sz w:val="16"/>
                <w:szCs w:val="16"/>
                <w:lang w:eastAsia="ja-JP"/>
              </w:rPr>
              <w:t>GeoAtlantic</w:t>
            </w:r>
            <w:proofErr w:type="spellEnd"/>
            <w:r w:rsidRPr="00AA5294">
              <w:rPr>
                <w:rFonts w:eastAsia="MS Mincho"/>
                <w:sz w:val="16"/>
                <w:szCs w:val="16"/>
                <w:lang w:eastAsia="ja-JP"/>
              </w:rPr>
              <w:t xml:space="preserve"> </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Duración:</w:t>
            </w:r>
            <w:r w:rsidRPr="00AA5294">
              <w:rPr>
                <w:rFonts w:eastAsia="MS Mincho"/>
                <w:sz w:val="16"/>
                <w:szCs w:val="16"/>
                <w:lang w:eastAsia="ja-JP"/>
              </w:rPr>
              <w:t xml:space="preserve"> 2017-2020 (4 años)</w:t>
            </w:r>
          </w:p>
          <w:p w:rsidR="00AA5294" w:rsidRPr="00AA5294" w:rsidRDefault="00AA5294" w:rsidP="00AA5294">
            <w:pPr>
              <w:jc w:val="both"/>
              <w:rPr>
                <w:rFonts w:eastAsia="MS Mincho"/>
                <w:sz w:val="16"/>
                <w:szCs w:val="16"/>
                <w:lang w:eastAsia="ja-JP"/>
              </w:rPr>
            </w:pPr>
            <w:r w:rsidRPr="00AA5294">
              <w:rPr>
                <w:rFonts w:eastAsia="MS Mincho"/>
                <w:sz w:val="16"/>
                <w:szCs w:val="16"/>
                <w:lang w:eastAsia="ja-JP"/>
              </w:rPr>
              <w:t xml:space="preserve">                              </w:t>
            </w:r>
            <w:r w:rsidRPr="00AA5294">
              <w:rPr>
                <w:rFonts w:eastAsia="MS Mincho"/>
                <w:i/>
                <w:iCs/>
                <w:sz w:val="16"/>
                <w:szCs w:val="16"/>
                <w:lang w:eastAsia="ja-JP"/>
              </w:rPr>
              <w:t>Investigador Principal ITER:</w:t>
            </w:r>
            <w:r w:rsidRPr="00AA5294">
              <w:rPr>
                <w:rFonts w:eastAsia="MS Mincho"/>
                <w:sz w:val="16"/>
                <w:szCs w:val="16"/>
                <w:lang w:eastAsia="ja-JP"/>
              </w:rPr>
              <w:t xml:space="preserve"> Dr. Nemesio M. Pérez</w:t>
            </w:r>
          </w:p>
          <w:p w:rsidR="00AA5294" w:rsidRPr="00AA5294" w:rsidRDefault="00AA5294" w:rsidP="00AA5294">
            <w:pPr>
              <w:jc w:val="both"/>
              <w:rPr>
                <w:rFonts w:eastAsia="MS Mincho"/>
                <w:sz w:val="16"/>
                <w:szCs w:val="16"/>
                <w:lang w:eastAsia="ja-JP"/>
              </w:rPr>
            </w:pPr>
            <w:r w:rsidRPr="00AA5294">
              <w:rPr>
                <w:rFonts w:eastAsia="MS Mincho"/>
                <w:i/>
                <w:iCs/>
                <w:sz w:val="16"/>
                <w:szCs w:val="16"/>
                <w:lang w:eastAsia="ja-JP"/>
              </w:rPr>
              <w:t xml:space="preserve">                             Investigadora Principal INVOLCAN:</w:t>
            </w:r>
            <w:r w:rsidRPr="00AA5294">
              <w:rPr>
                <w:rFonts w:eastAsia="MS Mincho"/>
                <w:sz w:val="16"/>
                <w:szCs w:val="16"/>
                <w:lang w:eastAsia="ja-JP"/>
              </w:rPr>
              <w:t xml:space="preserve"> Dra. Fátima Rodríguez</w:t>
            </w:r>
          </w:p>
          <w:p w:rsidR="00AA5294" w:rsidRPr="00AA5294" w:rsidRDefault="00AA5294" w:rsidP="00AA5294">
            <w:pPr>
              <w:jc w:val="both"/>
              <w:rPr>
                <w:rFonts w:eastAsia="MS Mincho"/>
                <w:sz w:val="16"/>
                <w:szCs w:val="16"/>
                <w:lang w:eastAsia="ja-JP"/>
              </w:rPr>
            </w:pPr>
          </w:p>
          <w:p w:rsidR="00AA5294" w:rsidRPr="00AA5294" w:rsidRDefault="00AA5294" w:rsidP="00AA5294">
            <w:pPr>
              <w:jc w:val="both"/>
              <w:rPr>
                <w:rFonts w:eastAsia="MS Mincho"/>
                <w:sz w:val="16"/>
                <w:szCs w:val="16"/>
                <w:lang w:eastAsia="ja-JP"/>
              </w:rPr>
            </w:pPr>
            <w:proofErr w:type="spellStart"/>
            <w:r w:rsidRPr="00AA5294">
              <w:rPr>
                <w:rFonts w:eastAsia="MS Mincho"/>
                <w:sz w:val="16"/>
                <w:szCs w:val="16"/>
                <w:lang w:eastAsia="ja-JP"/>
              </w:rPr>
              <w:t>GeoAtlantic</w:t>
            </w:r>
            <w:proofErr w:type="spellEnd"/>
            <w:r w:rsidRPr="00AA5294">
              <w:rPr>
                <w:rFonts w:eastAsia="MS Mincho"/>
                <w:sz w:val="16"/>
                <w:szCs w:val="16"/>
                <w:lang w:eastAsia="ja-JP"/>
              </w:rPr>
              <w:t xml:space="preserve"> contribuirá directamente las estrategias europeas para promover un crecimiento sostenible e inteligente, basado en recursos endógenos de las regiones atlánticas. El proyecto busca con carácter general promover el uso de la energía geotérmica en las comunidades por medio del desarrollo conjunto de herramientas y metodologías que permitan crear las condiciones necesarias, para la favorecer la transición energética en el Espacio Atlántico a través de la puesta en marcha de ecosistemas locales favorables, para el impulso de los recursos geotérmicos locales.</w:t>
            </w: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sz w:val="16"/>
                <w:szCs w:val="16"/>
              </w:rPr>
            </w:pPr>
          </w:p>
          <w:p w:rsidR="00AA5294" w:rsidRPr="00AA5294" w:rsidRDefault="00AA5294" w:rsidP="00AA5294">
            <w:pPr>
              <w:autoSpaceDE w:val="0"/>
              <w:autoSpaceDN w:val="0"/>
              <w:adjustRightInd w:val="0"/>
              <w:jc w:val="both"/>
              <w:rPr>
                <w:rFonts w:eastAsia="MS Mincho"/>
                <w:sz w:val="16"/>
                <w:szCs w:val="16"/>
                <w:lang w:eastAsia="ja-JP"/>
              </w:rPr>
            </w:pPr>
            <w:r w:rsidRPr="00AA5294">
              <w:rPr>
                <w:rFonts w:eastAsia="MS Mincho"/>
                <w:sz w:val="16"/>
                <w:szCs w:val="16"/>
                <w:lang w:eastAsia="ja-JP"/>
              </w:rPr>
              <w:t xml:space="preserve">** </w:t>
            </w:r>
            <w:proofErr w:type="gramStart"/>
            <w:r w:rsidRPr="00AA5294">
              <w:rPr>
                <w:rFonts w:eastAsia="MS Mincho"/>
                <w:sz w:val="16"/>
                <w:szCs w:val="16"/>
                <w:lang w:eastAsia="ja-JP"/>
              </w:rPr>
              <w:t>en</w:t>
            </w:r>
            <w:proofErr w:type="gramEnd"/>
            <w:r w:rsidRPr="00AA5294">
              <w:rPr>
                <w:rFonts w:eastAsia="MS Mincho"/>
                <w:sz w:val="16"/>
                <w:szCs w:val="16"/>
                <w:lang w:eastAsia="ja-JP"/>
              </w:rPr>
              <w:t xml:space="preserve"> este proyecto participan investigadores del INVOLCAN.</w:t>
            </w:r>
          </w:p>
          <w:p w:rsidR="00AA5294" w:rsidRDefault="00AA5294" w:rsidP="00676A74">
            <w:pPr>
              <w:rPr>
                <w:rFonts w:cs="Arial"/>
                <w:b/>
                <w:color w:val="FF0000"/>
              </w:rPr>
            </w:pPr>
          </w:p>
          <w:p w:rsidR="00AA5294" w:rsidRDefault="00AA5294" w:rsidP="00676A74">
            <w:pPr>
              <w:rPr>
                <w:rFonts w:cs="Arial"/>
                <w:b/>
                <w:color w:val="FF0000"/>
              </w:rPr>
            </w:pPr>
          </w:p>
          <w:p w:rsidR="00AA5294" w:rsidRPr="0006074F" w:rsidRDefault="00AA5294" w:rsidP="00676A74">
            <w:pPr>
              <w:rPr>
                <w:rFonts w:cs="Arial"/>
                <w:b/>
                <w:color w:val="FF0000"/>
              </w:rPr>
            </w:pPr>
          </w:p>
        </w:tc>
      </w:tr>
    </w:tbl>
    <w:p w:rsidR="00E65D89" w:rsidRPr="007B147D" w:rsidRDefault="00E65D89" w:rsidP="00945293">
      <w:pPr>
        <w:rPr>
          <w:rFonts w:ascii="Arial" w:hAnsi="Arial" w:cs="Arial"/>
          <w:sz w:val="11"/>
          <w:szCs w:val="11"/>
        </w:rPr>
      </w:pPr>
    </w:p>
    <w:sectPr w:rsidR="00E65D89" w:rsidRPr="007B147D" w:rsidSect="006F2A2A">
      <w:pgSz w:w="11906" w:h="16838"/>
      <w:pgMar w:top="284" w:right="1418" w:bottom="284" w:left="1418" w:header="720" w:footer="2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91" w:rsidRDefault="00675491" w:rsidP="00E65D89">
      <w:r>
        <w:separator/>
      </w:r>
    </w:p>
  </w:endnote>
  <w:endnote w:type="continuationSeparator" w:id="0">
    <w:p w:rsidR="00675491" w:rsidRDefault="00675491" w:rsidP="00E6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8" w:rsidRPr="00044EAE" w:rsidRDefault="006565DB" w:rsidP="00044EAE">
    <w:pPr>
      <w:pStyle w:val="Footer"/>
      <w:jc w:val="center"/>
      <w:rPr>
        <w:rFonts w:ascii="Arial" w:hAnsi="Arial" w:cs="Arial"/>
      </w:rPr>
    </w:pPr>
    <w:r w:rsidRPr="00044EAE">
      <w:rPr>
        <w:rFonts w:ascii="Arial" w:hAnsi="Arial" w:cs="Arial"/>
      </w:rPr>
      <w:fldChar w:fldCharType="begin"/>
    </w:r>
    <w:r w:rsidR="00850568" w:rsidRPr="00044EAE">
      <w:rPr>
        <w:rFonts w:ascii="Arial" w:hAnsi="Arial" w:cs="Arial"/>
      </w:rPr>
      <w:instrText xml:space="preserve"> PAGE   \* MERGEFORMAT </w:instrText>
    </w:r>
    <w:r w:rsidRPr="00044EAE">
      <w:rPr>
        <w:rFonts w:ascii="Arial" w:hAnsi="Arial" w:cs="Arial"/>
      </w:rPr>
      <w:fldChar w:fldCharType="separate"/>
    </w:r>
    <w:r w:rsidR="00AD68C6">
      <w:rPr>
        <w:rFonts w:ascii="Arial" w:hAnsi="Arial" w:cs="Arial"/>
        <w:noProof/>
      </w:rPr>
      <w:t>18</w:t>
    </w:r>
    <w:r w:rsidRPr="00044EAE">
      <w:rPr>
        <w:rFonts w:ascii="Arial" w:hAnsi="Arial" w:cs="Arial"/>
      </w:rPr>
      <w:fldChar w:fldCharType="end"/>
    </w:r>
  </w:p>
  <w:p w:rsidR="00850568" w:rsidRDefault="0085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91" w:rsidRDefault="00675491" w:rsidP="00E65D89">
      <w:r>
        <w:separator/>
      </w:r>
    </w:p>
  </w:footnote>
  <w:footnote w:type="continuationSeparator" w:id="0">
    <w:p w:rsidR="00675491" w:rsidRDefault="00675491" w:rsidP="00E6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795EDE"/>
    <w:multiLevelType w:val="hybridMultilevel"/>
    <w:tmpl w:val="8EACD4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C304BF"/>
    <w:multiLevelType w:val="multilevel"/>
    <w:tmpl w:val="774AF33A"/>
    <w:lvl w:ilvl="0">
      <w:start w:val="1"/>
      <w:numFmt w:val="none"/>
      <w:lvlText w:val="-"/>
      <w:legacy w:legacy="1" w:legacySpace="120" w:legacyIndent="720"/>
      <w:lvlJc w:val="left"/>
      <w:pPr>
        <w:ind w:left="720" w:hanging="720"/>
      </w:pPr>
      <w:rPr>
        <w:b/>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B6C94"/>
    <w:multiLevelType w:val="multilevel"/>
    <w:tmpl w:val="5568D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5410CF"/>
    <w:multiLevelType w:val="hybridMultilevel"/>
    <w:tmpl w:val="225C795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15186680"/>
    <w:multiLevelType w:val="hybridMultilevel"/>
    <w:tmpl w:val="16423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1B493F"/>
    <w:multiLevelType w:val="hybridMultilevel"/>
    <w:tmpl w:val="CD4EA12E"/>
    <w:lvl w:ilvl="0" w:tplc="9EEE83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415427"/>
    <w:multiLevelType w:val="hybridMultilevel"/>
    <w:tmpl w:val="5BB0E4B4"/>
    <w:lvl w:ilvl="0" w:tplc="0C0A0003">
      <w:start w:val="1"/>
      <w:numFmt w:val="bullet"/>
      <w:lvlText w:val="o"/>
      <w:lvlJc w:val="left"/>
      <w:pPr>
        <w:tabs>
          <w:tab w:val="num" w:pos="625"/>
        </w:tabs>
        <w:ind w:left="625" w:hanging="360"/>
      </w:pPr>
      <w:rPr>
        <w:rFonts w:ascii="Courier New" w:hAnsi="Courier New" w:cs="Courier New" w:hint="default"/>
      </w:rPr>
    </w:lvl>
    <w:lvl w:ilvl="1" w:tplc="0C0A0003" w:tentative="1">
      <w:start w:val="1"/>
      <w:numFmt w:val="bullet"/>
      <w:lvlText w:val="o"/>
      <w:lvlJc w:val="left"/>
      <w:pPr>
        <w:tabs>
          <w:tab w:val="num" w:pos="1345"/>
        </w:tabs>
        <w:ind w:left="1345" w:hanging="360"/>
      </w:pPr>
      <w:rPr>
        <w:rFonts w:ascii="Courier New" w:hAnsi="Courier New" w:cs="Courier New" w:hint="default"/>
      </w:rPr>
    </w:lvl>
    <w:lvl w:ilvl="2" w:tplc="0C0A0005" w:tentative="1">
      <w:start w:val="1"/>
      <w:numFmt w:val="bullet"/>
      <w:lvlText w:val=""/>
      <w:lvlJc w:val="left"/>
      <w:pPr>
        <w:tabs>
          <w:tab w:val="num" w:pos="2065"/>
        </w:tabs>
        <w:ind w:left="2065" w:hanging="360"/>
      </w:pPr>
      <w:rPr>
        <w:rFonts w:ascii="Wingdings" w:hAnsi="Wingdings" w:hint="default"/>
      </w:rPr>
    </w:lvl>
    <w:lvl w:ilvl="3" w:tplc="0C0A0001" w:tentative="1">
      <w:start w:val="1"/>
      <w:numFmt w:val="bullet"/>
      <w:lvlText w:val=""/>
      <w:lvlJc w:val="left"/>
      <w:pPr>
        <w:tabs>
          <w:tab w:val="num" w:pos="2785"/>
        </w:tabs>
        <w:ind w:left="2785" w:hanging="360"/>
      </w:pPr>
      <w:rPr>
        <w:rFonts w:ascii="Symbol" w:hAnsi="Symbol" w:hint="default"/>
      </w:rPr>
    </w:lvl>
    <w:lvl w:ilvl="4" w:tplc="0C0A0003" w:tentative="1">
      <w:start w:val="1"/>
      <w:numFmt w:val="bullet"/>
      <w:lvlText w:val="o"/>
      <w:lvlJc w:val="left"/>
      <w:pPr>
        <w:tabs>
          <w:tab w:val="num" w:pos="3505"/>
        </w:tabs>
        <w:ind w:left="3505" w:hanging="360"/>
      </w:pPr>
      <w:rPr>
        <w:rFonts w:ascii="Courier New" w:hAnsi="Courier New" w:cs="Courier New" w:hint="default"/>
      </w:rPr>
    </w:lvl>
    <w:lvl w:ilvl="5" w:tplc="0C0A0005" w:tentative="1">
      <w:start w:val="1"/>
      <w:numFmt w:val="bullet"/>
      <w:lvlText w:val=""/>
      <w:lvlJc w:val="left"/>
      <w:pPr>
        <w:tabs>
          <w:tab w:val="num" w:pos="4225"/>
        </w:tabs>
        <w:ind w:left="4225" w:hanging="360"/>
      </w:pPr>
      <w:rPr>
        <w:rFonts w:ascii="Wingdings" w:hAnsi="Wingdings" w:hint="default"/>
      </w:rPr>
    </w:lvl>
    <w:lvl w:ilvl="6" w:tplc="0C0A0001" w:tentative="1">
      <w:start w:val="1"/>
      <w:numFmt w:val="bullet"/>
      <w:lvlText w:val=""/>
      <w:lvlJc w:val="left"/>
      <w:pPr>
        <w:tabs>
          <w:tab w:val="num" w:pos="4945"/>
        </w:tabs>
        <w:ind w:left="4945" w:hanging="360"/>
      </w:pPr>
      <w:rPr>
        <w:rFonts w:ascii="Symbol" w:hAnsi="Symbol" w:hint="default"/>
      </w:rPr>
    </w:lvl>
    <w:lvl w:ilvl="7" w:tplc="0C0A0003" w:tentative="1">
      <w:start w:val="1"/>
      <w:numFmt w:val="bullet"/>
      <w:lvlText w:val="o"/>
      <w:lvlJc w:val="left"/>
      <w:pPr>
        <w:tabs>
          <w:tab w:val="num" w:pos="5665"/>
        </w:tabs>
        <w:ind w:left="5665" w:hanging="360"/>
      </w:pPr>
      <w:rPr>
        <w:rFonts w:ascii="Courier New" w:hAnsi="Courier New" w:cs="Courier New" w:hint="default"/>
      </w:rPr>
    </w:lvl>
    <w:lvl w:ilvl="8" w:tplc="0C0A0005" w:tentative="1">
      <w:start w:val="1"/>
      <w:numFmt w:val="bullet"/>
      <w:lvlText w:val=""/>
      <w:lvlJc w:val="left"/>
      <w:pPr>
        <w:tabs>
          <w:tab w:val="num" w:pos="6385"/>
        </w:tabs>
        <w:ind w:left="6385" w:hanging="360"/>
      </w:pPr>
      <w:rPr>
        <w:rFonts w:ascii="Wingdings" w:hAnsi="Wingdings" w:hint="default"/>
      </w:rPr>
    </w:lvl>
  </w:abstractNum>
  <w:abstractNum w:abstractNumId="10">
    <w:nsid w:val="229724E5"/>
    <w:multiLevelType w:val="multilevel"/>
    <w:tmpl w:val="48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D4186"/>
    <w:multiLevelType w:val="hybridMultilevel"/>
    <w:tmpl w:val="FFACFAD4"/>
    <w:lvl w:ilvl="0" w:tplc="BA8C071A">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6D44F4"/>
    <w:multiLevelType w:val="hybridMultilevel"/>
    <w:tmpl w:val="0D1C62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E05248C"/>
    <w:multiLevelType w:val="multilevel"/>
    <w:tmpl w:val="5BB0E4B4"/>
    <w:lvl w:ilvl="0">
      <w:start w:val="1"/>
      <w:numFmt w:val="bullet"/>
      <w:lvlText w:val="o"/>
      <w:lvlJc w:val="left"/>
      <w:pPr>
        <w:tabs>
          <w:tab w:val="num" w:pos="625"/>
        </w:tabs>
        <w:ind w:left="625" w:hanging="360"/>
      </w:pPr>
      <w:rPr>
        <w:rFonts w:ascii="Courier New" w:hAnsi="Courier New" w:cs="Courier New" w:hint="default"/>
      </w:rPr>
    </w:lvl>
    <w:lvl w:ilvl="1">
      <w:start w:val="1"/>
      <w:numFmt w:val="bullet"/>
      <w:lvlText w:val="o"/>
      <w:lvlJc w:val="left"/>
      <w:pPr>
        <w:tabs>
          <w:tab w:val="num" w:pos="1345"/>
        </w:tabs>
        <w:ind w:left="1345" w:hanging="360"/>
      </w:pPr>
      <w:rPr>
        <w:rFonts w:ascii="Courier New" w:hAnsi="Courier New" w:cs="Courier New" w:hint="default"/>
      </w:rPr>
    </w:lvl>
    <w:lvl w:ilvl="2">
      <w:start w:val="1"/>
      <w:numFmt w:val="bullet"/>
      <w:lvlText w:val=""/>
      <w:lvlJc w:val="left"/>
      <w:pPr>
        <w:tabs>
          <w:tab w:val="num" w:pos="2065"/>
        </w:tabs>
        <w:ind w:left="2065" w:hanging="360"/>
      </w:pPr>
      <w:rPr>
        <w:rFonts w:ascii="Wingdings" w:hAnsi="Wingdings" w:hint="default"/>
      </w:rPr>
    </w:lvl>
    <w:lvl w:ilvl="3">
      <w:start w:val="1"/>
      <w:numFmt w:val="bullet"/>
      <w:lvlText w:val=""/>
      <w:lvlJc w:val="left"/>
      <w:pPr>
        <w:tabs>
          <w:tab w:val="num" w:pos="2785"/>
        </w:tabs>
        <w:ind w:left="2785" w:hanging="360"/>
      </w:pPr>
      <w:rPr>
        <w:rFonts w:ascii="Symbol" w:hAnsi="Symbol" w:hint="default"/>
      </w:rPr>
    </w:lvl>
    <w:lvl w:ilvl="4">
      <w:start w:val="1"/>
      <w:numFmt w:val="bullet"/>
      <w:lvlText w:val="o"/>
      <w:lvlJc w:val="left"/>
      <w:pPr>
        <w:tabs>
          <w:tab w:val="num" w:pos="3505"/>
        </w:tabs>
        <w:ind w:left="3505" w:hanging="360"/>
      </w:pPr>
      <w:rPr>
        <w:rFonts w:ascii="Courier New" w:hAnsi="Courier New" w:cs="Courier New" w:hint="default"/>
      </w:rPr>
    </w:lvl>
    <w:lvl w:ilvl="5">
      <w:start w:val="1"/>
      <w:numFmt w:val="bullet"/>
      <w:lvlText w:val=""/>
      <w:lvlJc w:val="left"/>
      <w:pPr>
        <w:tabs>
          <w:tab w:val="num" w:pos="4225"/>
        </w:tabs>
        <w:ind w:left="4225" w:hanging="360"/>
      </w:pPr>
      <w:rPr>
        <w:rFonts w:ascii="Wingdings" w:hAnsi="Wingdings" w:hint="default"/>
      </w:rPr>
    </w:lvl>
    <w:lvl w:ilvl="6">
      <w:start w:val="1"/>
      <w:numFmt w:val="bullet"/>
      <w:lvlText w:val=""/>
      <w:lvlJc w:val="left"/>
      <w:pPr>
        <w:tabs>
          <w:tab w:val="num" w:pos="4945"/>
        </w:tabs>
        <w:ind w:left="4945" w:hanging="360"/>
      </w:pPr>
      <w:rPr>
        <w:rFonts w:ascii="Symbol" w:hAnsi="Symbol" w:hint="default"/>
      </w:rPr>
    </w:lvl>
    <w:lvl w:ilvl="7">
      <w:start w:val="1"/>
      <w:numFmt w:val="bullet"/>
      <w:lvlText w:val="o"/>
      <w:lvlJc w:val="left"/>
      <w:pPr>
        <w:tabs>
          <w:tab w:val="num" w:pos="5665"/>
        </w:tabs>
        <w:ind w:left="5665" w:hanging="360"/>
      </w:pPr>
      <w:rPr>
        <w:rFonts w:ascii="Courier New" w:hAnsi="Courier New" w:cs="Courier New" w:hint="default"/>
      </w:rPr>
    </w:lvl>
    <w:lvl w:ilvl="8">
      <w:start w:val="1"/>
      <w:numFmt w:val="bullet"/>
      <w:lvlText w:val=""/>
      <w:lvlJc w:val="left"/>
      <w:pPr>
        <w:tabs>
          <w:tab w:val="num" w:pos="6385"/>
        </w:tabs>
        <w:ind w:left="6385" w:hanging="360"/>
      </w:pPr>
      <w:rPr>
        <w:rFonts w:ascii="Wingdings" w:hAnsi="Wingdings" w:hint="default"/>
      </w:rPr>
    </w:lvl>
  </w:abstractNum>
  <w:abstractNum w:abstractNumId="14">
    <w:nsid w:val="38A3160C"/>
    <w:multiLevelType w:val="hybridMultilevel"/>
    <w:tmpl w:val="1074B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cs="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16">
    <w:nsid w:val="495C7F8F"/>
    <w:multiLevelType w:val="hybridMultilevel"/>
    <w:tmpl w:val="252A0B3A"/>
    <w:lvl w:ilvl="0" w:tplc="A92A2F7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AB666CA"/>
    <w:multiLevelType w:val="hybridMultilevel"/>
    <w:tmpl w:val="5308D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D754F1C"/>
    <w:multiLevelType w:val="hybridMultilevel"/>
    <w:tmpl w:val="7A7417C8"/>
    <w:lvl w:ilvl="0" w:tplc="9172262E">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AB3AEA"/>
    <w:multiLevelType w:val="hybridMultilevel"/>
    <w:tmpl w:val="92DA386E"/>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4DE2356"/>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36070A"/>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81D0671"/>
    <w:multiLevelType w:val="hybridMultilevel"/>
    <w:tmpl w:val="EA1006EA"/>
    <w:lvl w:ilvl="0" w:tplc="ABA4318A">
      <w:start w:val="1"/>
      <w:numFmt w:val="upp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2DE264A"/>
    <w:multiLevelType w:val="hybridMultilevel"/>
    <w:tmpl w:val="4F26E526"/>
    <w:lvl w:ilvl="0" w:tplc="0C0A000D">
      <w:start w:val="1"/>
      <w:numFmt w:val="bullet"/>
      <w:lvlText w:val=""/>
      <w:lvlJc w:val="left"/>
      <w:pPr>
        <w:tabs>
          <w:tab w:val="num" w:pos="2030"/>
        </w:tabs>
        <w:ind w:left="2030" w:hanging="360"/>
      </w:pPr>
      <w:rPr>
        <w:rFonts w:ascii="Wingdings" w:hAnsi="Wingdings" w:hint="default"/>
      </w:rPr>
    </w:lvl>
    <w:lvl w:ilvl="1" w:tplc="0C0A0003" w:tentative="1">
      <w:start w:val="1"/>
      <w:numFmt w:val="bullet"/>
      <w:lvlText w:val="o"/>
      <w:lvlJc w:val="left"/>
      <w:pPr>
        <w:tabs>
          <w:tab w:val="num" w:pos="2750"/>
        </w:tabs>
        <w:ind w:left="2750" w:hanging="360"/>
      </w:pPr>
      <w:rPr>
        <w:rFonts w:ascii="Courier New" w:hAnsi="Courier New" w:cs="Courier New" w:hint="default"/>
      </w:rPr>
    </w:lvl>
    <w:lvl w:ilvl="2" w:tplc="0C0A0005" w:tentative="1">
      <w:start w:val="1"/>
      <w:numFmt w:val="bullet"/>
      <w:lvlText w:val=""/>
      <w:lvlJc w:val="left"/>
      <w:pPr>
        <w:tabs>
          <w:tab w:val="num" w:pos="3470"/>
        </w:tabs>
        <w:ind w:left="3470" w:hanging="360"/>
      </w:pPr>
      <w:rPr>
        <w:rFonts w:ascii="Wingdings" w:hAnsi="Wingdings" w:hint="default"/>
      </w:rPr>
    </w:lvl>
    <w:lvl w:ilvl="3" w:tplc="0C0A0001" w:tentative="1">
      <w:start w:val="1"/>
      <w:numFmt w:val="bullet"/>
      <w:lvlText w:val=""/>
      <w:lvlJc w:val="left"/>
      <w:pPr>
        <w:tabs>
          <w:tab w:val="num" w:pos="4190"/>
        </w:tabs>
        <w:ind w:left="4190" w:hanging="360"/>
      </w:pPr>
      <w:rPr>
        <w:rFonts w:ascii="Symbol" w:hAnsi="Symbol" w:hint="default"/>
      </w:rPr>
    </w:lvl>
    <w:lvl w:ilvl="4" w:tplc="0C0A0003" w:tentative="1">
      <w:start w:val="1"/>
      <w:numFmt w:val="bullet"/>
      <w:lvlText w:val="o"/>
      <w:lvlJc w:val="left"/>
      <w:pPr>
        <w:tabs>
          <w:tab w:val="num" w:pos="4910"/>
        </w:tabs>
        <w:ind w:left="4910" w:hanging="360"/>
      </w:pPr>
      <w:rPr>
        <w:rFonts w:ascii="Courier New" w:hAnsi="Courier New" w:cs="Courier New" w:hint="default"/>
      </w:rPr>
    </w:lvl>
    <w:lvl w:ilvl="5" w:tplc="0C0A0005" w:tentative="1">
      <w:start w:val="1"/>
      <w:numFmt w:val="bullet"/>
      <w:lvlText w:val=""/>
      <w:lvlJc w:val="left"/>
      <w:pPr>
        <w:tabs>
          <w:tab w:val="num" w:pos="5630"/>
        </w:tabs>
        <w:ind w:left="5630" w:hanging="360"/>
      </w:pPr>
      <w:rPr>
        <w:rFonts w:ascii="Wingdings" w:hAnsi="Wingdings" w:hint="default"/>
      </w:rPr>
    </w:lvl>
    <w:lvl w:ilvl="6" w:tplc="0C0A0001" w:tentative="1">
      <w:start w:val="1"/>
      <w:numFmt w:val="bullet"/>
      <w:lvlText w:val=""/>
      <w:lvlJc w:val="left"/>
      <w:pPr>
        <w:tabs>
          <w:tab w:val="num" w:pos="6350"/>
        </w:tabs>
        <w:ind w:left="6350" w:hanging="360"/>
      </w:pPr>
      <w:rPr>
        <w:rFonts w:ascii="Symbol" w:hAnsi="Symbol" w:hint="default"/>
      </w:rPr>
    </w:lvl>
    <w:lvl w:ilvl="7" w:tplc="0C0A0003" w:tentative="1">
      <w:start w:val="1"/>
      <w:numFmt w:val="bullet"/>
      <w:lvlText w:val="o"/>
      <w:lvlJc w:val="left"/>
      <w:pPr>
        <w:tabs>
          <w:tab w:val="num" w:pos="7070"/>
        </w:tabs>
        <w:ind w:left="7070" w:hanging="360"/>
      </w:pPr>
      <w:rPr>
        <w:rFonts w:ascii="Courier New" w:hAnsi="Courier New" w:cs="Courier New" w:hint="default"/>
      </w:rPr>
    </w:lvl>
    <w:lvl w:ilvl="8" w:tplc="0C0A0005" w:tentative="1">
      <w:start w:val="1"/>
      <w:numFmt w:val="bullet"/>
      <w:lvlText w:val=""/>
      <w:lvlJc w:val="left"/>
      <w:pPr>
        <w:tabs>
          <w:tab w:val="num" w:pos="7790"/>
        </w:tabs>
        <w:ind w:left="7790" w:hanging="360"/>
      </w:pPr>
      <w:rPr>
        <w:rFonts w:ascii="Wingdings" w:hAnsi="Wingdings" w:hint="default"/>
      </w:rPr>
    </w:lvl>
  </w:abstractNum>
  <w:abstractNum w:abstractNumId="24">
    <w:nsid w:val="6AD66B43"/>
    <w:multiLevelType w:val="hybridMultilevel"/>
    <w:tmpl w:val="5568DB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0E71EED"/>
    <w:multiLevelType w:val="multilevel"/>
    <w:tmpl w:val="EA1006EA"/>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A27C77"/>
    <w:multiLevelType w:val="hybridMultilevel"/>
    <w:tmpl w:val="8EB4283C"/>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2EA5C30"/>
    <w:multiLevelType w:val="multilevel"/>
    <w:tmpl w:val="0D1C6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AD2D2B"/>
    <w:multiLevelType w:val="hybridMultilevel"/>
    <w:tmpl w:val="75104ECC"/>
    <w:lvl w:ilvl="0" w:tplc="38D004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1D54F3"/>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954611B"/>
    <w:multiLevelType w:val="hybridMultilevel"/>
    <w:tmpl w:val="0108D400"/>
    <w:lvl w:ilvl="0" w:tplc="9172262E">
      <w:numFmt w:val="bullet"/>
      <w:lvlText w:val="-"/>
      <w:lvlJc w:val="left"/>
      <w:pPr>
        <w:tabs>
          <w:tab w:val="num" w:pos="1065"/>
        </w:tabs>
        <w:ind w:left="1065" w:hanging="705"/>
      </w:pPr>
      <w:rPr>
        <w:rFonts w:ascii="Arial" w:eastAsia="Times New Roman" w:hAnsi="Arial" w:cs="Arial" w:hint="default"/>
      </w:rPr>
    </w:lvl>
    <w:lvl w:ilvl="1" w:tplc="C1848910">
      <w:numFmt w:val="bullet"/>
      <w:lvlText w:val=""/>
      <w:lvlJc w:val="left"/>
      <w:pPr>
        <w:tabs>
          <w:tab w:val="num" w:pos="1785"/>
        </w:tabs>
        <w:ind w:left="1785" w:hanging="705"/>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1"/>
  </w:num>
  <w:num w:numId="4">
    <w:abstractNumId w:val="3"/>
  </w:num>
  <w:num w:numId="5">
    <w:abstractNumId w:val="15"/>
  </w:num>
  <w:num w:numId="6">
    <w:abstractNumId w:val="6"/>
  </w:num>
  <w:num w:numId="7">
    <w:abstractNumId w:val="24"/>
  </w:num>
  <w:num w:numId="8">
    <w:abstractNumId w:val="10"/>
  </w:num>
  <w:num w:numId="9">
    <w:abstractNumId w:val="11"/>
  </w:num>
  <w:num w:numId="10">
    <w:abstractNumId w:val="14"/>
  </w:num>
  <w:num w:numId="11">
    <w:abstractNumId w:val="22"/>
  </w:num>
  <w:num w:numId="12">
    <w:abstractNumId w:val="5"/>
  </w:num>
  <w:num w:numId="13">
    <w:abstractNumId w:val="12"/>
  </w:num>
  <w:num w:numId="14">
    <w:abstractNumId w:val="27"/>
  </w:num>
  <w:num w:numId="15">
    <w:abstractNumId w:val="23"/>
  </w:num>
  <w:num w:numId="16">
    <w:abstractNumId w:val="19"/>
  </w:num>
  <w:num w:numId="17">
    <w:abstractNumId w:val="25"/>
  </w:num>
  <w:num w:numId="18">
    <w:abstractNumId w:val="9"/>
  </w:num>
  <w:num w:numId="19">
    <w:abstractNumId w:val="17"/>
  </w:num>
  <w:num w:numId="20">
    <w:abstractNumId w:val="2"/>
  </w:num>
  <w:num w:numId="21">
    <w:abstractNumId w:val="16"/>
  </w:num>
  <w:num w:numId="22">
    <w:abstractNumId w:val="13"/>
  </w:num>
  <w:num w:numId="23">
    <w:abstractNumId w:val="20"/>
  </w:num>
  <w:num w:numId="24">
    <w:abstractNumId w:val="21"/>
  </w:num>
  <w:num w:numId="25">
    <w:abstractNumId w:val="29"/>
  </w:num>
  <w:num w:numId="26">
    <w:abstractNumId w:val="26"/>
  </w:num>
  <w:num w:numId="27">
    <w:abstractNumId w:val="30"/>
  </w:num>
  <w:num w:numId="28">
    <w:abstractNumId w:val="18"/>
  </w:num>
  <w:num w:numId="29">
    <w:abstractNumId w:val="0"/>
  </w:num>
  <w:num w:numId="30">
    <w:abstractNumId w:val="1"/>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1"/>
    <w:rsid w:val="0000096C"/>
    <w:rsid w:val="0000115A"/>
    <w:rsid w:val="00007E33"/>
    <w:rsid w:val="000113EF"/>
    <w:rsid w:val="00016C6E"/>
    <w:rsid w:val="0003611E"/>
    <w:rsid w:val="00044EAE"/>
    <w:rsid w:val="00050D0B"/>
    <w:rsid w:val="0005384E"/>
    <w:rsid w:val="00066591"/>
    <w:rsid w:val="0007168A"/>
    <w:rsid w:val="00073470"/>
    <w:rsid w:val="00080E53"/>
    <w:rsid w:val="00094956"/>
    <w:rsid w:val="000B1FED"/>
    <w:rsid w:val="000B2667"/>
    <w:rsid w:val="000B3DF9"/>
    <w:rsid w:val="000B4A64"/>
    <w:rsid w:val="000C410E"/>
    <w:rsid w:val="000C56CE"/>
    <w:rsid w:val="000C62E9"/>
    <w:rsid w:val="000E5894"/>
    <w:rsid w:val="000E764A"/>
    <w:rsid w:val="000F00A0"/>
    <w:rsid w:val="000F1DB5"/>
    <w:rsid w:val="00142C06"/>
    <w:rsid w:val="001445B1"/>
    <w:rsid w:val="001550C5"/>
    <w:rsid w:val="00160082"/>
    <w:rsid w:val="001651D1"/>
    <w:rsid w:val="0016753E"/>
    <w:rsid w:val="00187EDF"/>
    <w:rsid w:val="00190FE6"/>
    <w:rsid w:val="00192ABD"/>
    <w:rsid w:val="001A1D76"/>
    <w:rsid w:val="001A1DE0"/>
    <w:rsid w:val="001A2764"/>
    <w:rsid w:val="001A7BB2"/>
    <w:rsid w:val="001B1432"/>
    <w:rsid w:val="001B5EB7"/>
    <w:rsid w:val="001C5BF5"/>
    <w:rsid w:val="001D4BB1"/>
    <w:rsid w:val="001E029F"/>
    <w:rsid w:val="001E4936"/>
    <w:rsid w:val="001F381F"/>
    <w:rsid w:val="001F4467"/>
    <w:rsid w:val="001F7FCF"/>
    <w:rsid w:val="002052C7"/>
    <w:rsid w:val="00217E70"/>
    <w:rsid w:val="002210FB"/>
    <w:rsid w:val="002229AD"/>
    <w:rsid w:val="00226796"/>
    <w:rsid w:val="002331D2"/>
    <w:rsid w:val="00233EDF"/>
    <w:rsid w:val="002341A2"/>
    <w:rsid w:val="002356A2"/>
    <w:rsid w:val="00242BFB"/>
    <w:rsid w:val="002454FD"/>
    <w:rsid w:val="0024643D"/>
    <w:rsid w:val="00247C3C"/>
    <w:rsid w:val="00272FEB"/>
    <w:rsid w:val="0028714F"/>
    <w:rsid w:val="002B2BDF"/>
    <w:rsid w:val="002E1117"/>
    <w:rsid w:val="00303929"/>
    <w:rsid w:val="00305C75"/>
    <w:rsid w:val="0031790C"/>
    <w:rsid w:val="00324375"/>
    <w:rsid w:val="00351282"/>
    <w:rsid w:val="00351D3A"/>
    <w:rsid w:val="00352C0D"/>
    <w:rsid w:val="003616FA"/>
    <w:rsid w:val="00366660"/>
    <w:rsid w:val="00374BD6"/>
    <w:rsid w:val="003A7F07"/>
    <w:rsid w:val="003D281D"/>
    <w:rsid w:val="003E0608"/>
    <w:rsid w:val="003E29D1"/>
    <w:rsid w:val="00413214"/>
    <w:rsid w:val="00421049"/>
    <w:rsid w:val="00425181"/>
    <w:rsid w:val="0043293B"/>
    <w:rsid w:val="00434B84"/>
    <w:rsid w:val="00441D25"/>
    <w:rsid w:val="0048560D"/>
    <w:rsid w:val="00485719"/>
    <w:rsid w:val="00487067"/>
    <w:rsid w:val="004A33C4"/>
    <w:rsid w:val="004A4C9B"/>
    <w:rsid w:val="004A719A"/>
    <w:rsid w:val="004C1B44"/>
    <w:rsid w:val="004D5791"/>
    <w:rsid w:val="004F0BD5"/>
    <w:rsid w:val="004F4DF9"/>
    <w:rsid w:val="004F7E8F"/>
    <w:rsid w:val="00513D17"/>
    <w:rsid w:val="00514F1E"/>
    <w:rsid w:val="00517B2B"/>
    <w:rsid w:val="0054003E"/>
    <w:rsid w:val="005466C4"/>
    <w:rsid w:val="00546925"/>
    <w:rsid w:val="005476C6"/>
    <w:rsid w:val="005502A8"/>
    <w:rsid w:val="0056078A"/>
    <w:rsid w:val="00563B72"/>
    <w:rsid w:val="00584085"/>
    <w:rsid w:val="005A02DF"/>
    <w:rsid w:val="005A20C8"/>
    <w:rsid w:val="005A74CA"/>
    <w:rsid w:val="005E3A4B"/>
    <w:rsid w:val="005E4713"/>
    <w:rsid w:val="005F4BEA"/>
    <w:rsid w:val="00600424"/>
    <w:rsid w:val="0061354F"/>
    <w:rsid w:val="00615A99"/>
    <w:rsid w:val="006227FA"/>
    <w:rsid w:val="0062538C"/>
    <w:rsid w:val="00625B3A"/>
    <w:rsid w:val="00630544"/>
    <w:rsid w:val="006334B4"/>
    <w:rsid w:val="006372E4"/>
    <w:rsid w:val="00642DC9"/>
    <w:rsid w:val="00647D73"/>
    <w:rsid w:val="006543CC"/>
    <w:rsid w:val="006565DB"/>
    <w:rsid w:val="00656EDA"/>
    <w:rsid w:val="006631B1"/>
    <w:rsid w:val="00675491"/>
    <w:rsid w:val="00682962"/>
    <w:rsid w:val="006849B1"/>
    <w:rsid w:val="006A2B3D"/>
    <w:rsid w:val="006A7BBC"/>
    <w:rsid w:val="006B58ED"/>
    <w:rsid w:val="006C2199"/>
    <w:rsid w:val="006C7F5D"/>
    <w:rsid w:val="006D1D5E"/>
    <w:rsid w:val="006D2087"/>
    <w:rsid w:val="006D2E73"/>
    <w:rsid w:val="006E19EB"/>
    <w:rsid w:val="006E4B32"/>
    <w:rsid w:val="006F2A2A"/>
    <w:rsid w:val="006F6DC9"/>
    <w:rsid w:val="00720E06"/>
    <w:rsid w:val="00721071"/>
    <w:rsid w:val="00760B04"/>
    <w:rsid w:val="0077787E"/>
    <w:rsid w:val="007842B1"/>
    <w:rsid w:val="00794B97"/>
    <w:rsid w:val="007B147D"/>
    <w:rsid w:val="007B3121"/>
    <w:rsid w:val="007E10D5"/>
    <w:rsid w:val="007E444C"/>
    <w:rsid w:val="007F024E"/>
    <w:rsid w:val="007F0762"/>
    <w:rsid w:val="00806C6B"/>
    <w:rsid w:val="00806DB7"/>
    <w:rsid w:val="00850568"/>
    <w:rsid w:val="008545D8"/>
    <w:rsid w:val="008769CD"/>
    <w:rsid w:val="00877E9C"/>
    <w:rsid w:val="008A687D"/>
    <w:rsid w:val="008B74B7"/>
    <w:rsid w:val="008C081C"/>
    <w:rsid w:val="008C08D3"/>
    <w:rsid w:val="008C1093"/>
    <w:rsid w:val="008C50F2"/>
    <w:rsid w:val="008D3C58"/>
    <w:rsid w:val="008F0AD6"/>
    <w:rsid w:val="008F1428"/>
    <w:rsid w:val="009026F6"/>
    <w:rsid w:val="00906E29"/>
    <w:rsid w:val="0091144E"/>
    <w:rsid w:val="009268D6"/>
    <w:rsid w:val="00937ABB"/>
    <w:rsid w:val="0094470E"/>
    <w:rsid w:val="00945293"/>
    <w:rsid w:val="0094574F"/>
    <w:rsid w:val="00963D5E"/>
    <w:rsid w:val="00963EBC"/>
    <w:rsid w:val="00966557"/>
    <w:rsid w:val="00980A02"/>
    <w:rsid w:val="00987839"/>
    <w:rsid w:val="009A7D53"/>
    <w:rsid w:val="009A7E45"/>
    <w:rsid w:val="009C20B8"/>
    <w:rsid w:val="009C50B3"/>
    <w:rsid w:val="009D3B17"/>
    <w:rsid w:val="009D5A82"/>
    <w:rsid w:val="009D7F72"/>
    <w:rsid w:val="009E2EF9"/>
    <w:rsid w:val="00A00ABC"/>
    <w:rsid w:val="00A048BA"/>
    <w:rsid w:val="00A10E7A"/>
    <w:rsid w:val="00A11AE3"/>
    <w:rsid w:val="00A13EBA"/>
    <w:rsid w:val="00A1429E"/>
    <w:rsid w:val="00A756F6"/>
    <w:rsid w:val="00A76964"/>
    <w:rsid w:val="00A82F09"/>
    <w:rsid w:val="00A8310D"/>
    <w:rsid w:val="00A87A0C"/>
    <w:rsid w:val="00A93020"/>
    <w:rsid w:val="00A9400C"/>
    <w:rsid w:val="00AA5294"/>
    <w:rsid w:val="00AA606D"/>
    <w:rsid w:val="00AB659E"/>
    <w:rsid w:val="00AD68C6"/>
    <w:rsid w:val="00AE433C"/>
    <w:rsid w:val="00AF0910"/>
    <w:rsid w:val="00AF21FC"/>
    <w:rsid w:val="00B03360"/>
    <w:rsid w:val="00B175C2"/>
    <w:rsid w:val="00B1790F"/>
    <w:rsid w:val="00B334A6"/>
    <w:rsid w:val="00B337B3"/>
    <w:rsid w:val="00B34A18"/>
    <w:rsid w:val="00B52793"/>
    <w:rsid w:val="00B528B0"/>
    <w:rsid w:val="00B65894"/>
    <w:rsid w:val="00B70E7E"/>
    <w:rsid w:val="00B71040"/>
    <w:rsid w:val="00B80E03"/>
    <w:rsid w:val="00B80E53"/>
    <w:rsid w:val="00B8116C"/>
    <w:rsid w:val="00B84A3F"/>
    <w:rsid w:val="00B8554B"/>
    <w:rsid w:val="00BA0421"/>
    <w:rsid w:val="00BC47AD"/>
    <w:rsid w:val="00BD18D8"/>
    <w:rsid w:val="00BD4819"/>
    <w:rsid w:val="00BE1974"/>
    <w:rsid w:val="00BF1CBF"/>
    <w:rsid w:val="00BF2A15"/>
    <w:rsid w:val="00BF570F"/>
    <w:rsid w:val="00C053C4"/>
    <w:rsid w:val="00C25CBF"/>
    <w:rsid w:val="00C31949"/>
    <w:rsid w:val="00C31F7E"/>
    <w:rsid w:val="00C35BD5"/>
    <w:rsid w:val="00C4393D"/>
    <w:rsid w:val="00C44BE1"/>
    <w:rsid w:val="00C50EA9"/>
    <w:rsid w:val="00C7434D"/>
    <w:rsid w:val="00C76B92"/>
    <w:rsid w:val="00C807AB"/>
    <w:rsid w:val="00CB442F"/>
    <w:rsid w:val="00CC46DA"/>
    <w:rsid w:val="00CC4CAB"/>
    <w:rsid w:val="00CE0437"/>
    <w:rsid w:val="00CE4EE4"/>
    <w:rsid w:val="00D01830"/>
    <w:rsid w:val="00D05B24"/>
    <w:rsid w:val="00D135A1"/>
    <w:rsid w:val="00D2009B"/>
    <w:rsid w:val="00D322D8"/>
    <w:rsid w:val="00D43E8F"/>
    <w:rsid w:val="00D57174"/>
    <w:rsid w:val="00D57ED9"/>
    <w:rsid w:val="00D60DD7"/>
    <w:rsid w:val="00D63D19"/>
    <w:rsid w:val="00D7376A"/>
    <w:rsid w:val="00D902D1"/>
    <w:rsid w:val="00DB332C"/>
    <w:rsid w:val="00DE3840"/>
    <w:rsid w:val="00E02662"/>
    <w:rsid w:val="00E12F33"/>
    <w:rsid w:val="00E31B40"/>
    <w:rsid w:val="00E379BC"/>
    <w:rsid w:val="00E65D89"/>
    <w:rsid w:val="00EB3A50"/>
    <w:rsid w:val="00EB695A"/>
    <w:rsid w:val="00EC66FB"/>
    <w:rsid w:val="00ED2F53"/>
    <w:rsid w:val="00F02F81"/>
    <w:rsid w:val="00F2193C"/>
    <w:rsid w:val="00F25134"/>
    <w:rsid w:val="00F36ECD"/>
    <w:rsid w:val="00F4696D"/>
    <w:rsid w:val="00F57B27"/>
    <w:rsid w:val="00F64E36"/>
    <w:rsid w:val="00F668CD"/>
    <w:rsid w:val="00F81BDE"/>
    <w:rsid w:val="00F8624A"/>
    <w:rsid w:val="00F916BB"/>
    <w:rsid w:val="00FA4FAB"/>
    <w:rsid w:val="00FC5028"/>
    <w:rsid w:val="00FC6303"/>
    <w:rsid w:val="00FE16EF"/>
    <w:rsid w:val="00FF0C94"/>
    <w:rsid w:val="00FF4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rsid w:val="00324375"/>
    <w:pPr>
      <w:tabs>
        <w:tab w:val="left" w:pos="-720"/>
        <w:tab w:val="left" w:pos="0"/>
      </w:tabs>
      <w:suppressAutoHyphens/>
      <w:jc w:val="both"/>
    </w:pPr>
    <w:rPr>
      <w:sz w:val="24"/>
    </w:rPr>
  </w:style>
  <w:style w:type="paragraph" w:customStyle="1" w:styleId="a">
    <w:basedOn w:val="Normal"/>
    <w:next w:val="BodyTextIndent"/>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rsid w:val="00324375"/>
    <w:pPr>
      <w:spacing w:after="120"/>
      <w:ind w:left="283"/>
    </w:pPr>
  </w:style>
  <w:style w:type="character" w:customStyle="1" w:styleId="style11">
    <w:name w:val="style11"/>
    <w:basedOn w:val="DefaultParagraphFont"/>
    <w:rsid w:val="00B80E53"/>
    <w:rPr>
      <w:sz w:val="24"/>
      <w:szCs w:val="24"/>
    </w:rPr>
  </w:style>
  <w:style w:type="paragraph" w:styleId="HTMLPreformatted">
    <w:name w:val="HTML Preformatted"/>
    <w:basedOn w:val="Normal"/>
    <w:link w:val="HTMLPreformattedCh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Header">
    <w:name w:val="header"/>
    <w:basedOn w:val="Normal"/>
    <w:link w:val="HeaderChar"/>
    <w:uiPriority w:val="99"/>
    <w:rsid w:val="00E65D89"/>
    <w:pPr>
      <w:tabs>
        <w:tab w:val="center" w:pos="4252"/>
        <w:tab w:val="right" w:pos="8504"/>
      </w:tabs>
    </w:pPr>
  </w:style>
  <w:style w:type="character" w:customStyle="1" w:styleId="HeaderChar">
    <w:name w:val="Header Char"/>
    <w:basedOn w:val="DefaultParagraphFont"/>
    <w:link w:val="Header"/>
    <w:uiPriority w:val="99"/>
    <w:rsid w:val="00E65D89"/>
  </w:style>
  <w:style w:type="paragraph" w:styleId="Footer">
    <w:name w:val="footer"/>
    <w:basedOn w:val="Normal"/>
    <w:link w:val="FooterChar"/>
    <w:uiPriority w:val="99"/>
    <w:rsid w:val="00E65D89"/>
    <w:pPr>
      <w:tabs>
        <w:tab w:val="center" w:pos="4252"/>
        <w:tab w:val="right" w:pos="8504"/>
      </w:tabs>
    </w:pPr>
  </w:style>
  <w:style w:type="character" w:customStyle="1" w:styleId="FooterChar">
    <w:name w:val="Footer Char"/>
    <w:basedOn w:val="DefaultParagraphFont"/>
    <w:link w:val="Footer"/>
    <w:uiPriority w:val="99"/>
    <w:rsid w:val="00E65D89"/>
  </w:style>
  <w:style w:type="paragraph" w:styleId="BalloonText">
    <w:name w:val="Balloon Text"/>
    <w:basedOn w:val="Normal"/>
    <w:link w:val="BalloonTextChar"/>
    <w:rsid w:val="00E65D89"/>
    <w:rPr>
      <w:rFonts w:ascii="Tahoma" w:hAnsi="Tahoma" w:cs="Tahoma"/>
      <w:sz w:val="16"/>
      <w:szCs w:val="16"/>
    </w:rPr>
  </w:style>
  <w:style w:type="character" w:customStyle="1" w:styleId="BalloonTextChar">
    <w:name w:val="Balloon Text Char"/>
    <w:basedOn w:val="DefaultParagraphFont"/>
    <w:link w:val="BalloonText"/>
    <w:rsid w:val="00E65D89"/>
    <w:rPr>
      <w:rFonts w:ascii="Tahoma" w:hAnsi="Tahoma" w:cs="Tahoma"/>
      <w:sz w:val="16"/>
      <w:szCs w:val="16"/>
    </w:rPr>
  </w:style>
  <w:style w:type="character" w:styleId="PageNumber">
    <w:name w:val="page number"/>
    <w:basedOn w:val="DefaultParagraphFont"/>
    <w:rsid w:val="00E65D89"/>
  </w:style>
  <w:style w:type="character" w:styleId="Hyperlink">
    <w:name w:val="Hyperlink"/>
    <w:basedOn w:val="DefaultParagraphFont"/>
    <w:rsid w:val="00806DB7"/>
    <w:rPr>
      <w:color w:val="0000FF" w:themeColor="hyperlink"/>
      <w:u w:val="single"/>
    </w:rPr>
  </w:style>
  <w:style w:type="paragraph" w:styleId="ListParagraph">
    <w:name w:val="List Paragraph"/>
    <w:basedOn w:val="Normal"/>
    <w:qFormat/>
    <w:rsid w:val="0062538C"/>
    <w:pPr>
      <w:suppressAutoHyphens/>
      <w:ind w:left="708"/>
    </w:pPr>
    <w:rPr>
      <w:lang w:eastAsia="ar-SA"/>
    </w:rPr>
  </w:style>
  <w:style w:type="character" w:customStyle="1" w:styleId="HTMLPreformattedChar">
    <w:name w:val="HTML Preformatted Char"/>
    <w:basedOn w:val="DefaultParagraphFont"/>
    <w:link w:val="HTMLPreformatted"/>
    <w:uiPriority w:val="99"/>
    <w:locked/>
    <w:rsid w:val="004F0BD5"/>
    <w:rPr>
      <w:rFonts w:ascii="Courier New" w:eastAsia="MS Mincho" w:hAnsi="Courier New" w:cs="Courier New"/>
      <w:lang w:val="es-ES_tradnl" w:eastAsia="ja-JP"/>
    </w:rPr>
  </w:style>
  <w:style w:type="paragraph" w:customStyle="1" w:styleId="Area">
    <w:name w:val="Area"/>
    <w:basedOn w:val="Normal"/>
    <w:rsid w:val="00AA5294"/>
    <w:pPr>
      <w:spacing w:line="200" w:lineRule="exact"/>
      <w:jc w:val="both"/>
    </w:pPr>
    <w:rPr>
      <w:rFonts w:ascii="Arial" w:eastAsia="Cambria" w:hAnsi="Arial" w:cs="Arial"/>
      <w:bCs/>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rsid w:val="00324375"/>
    <w:pPr>
      <w:tabs>
        <w:tab w:val="left" w:pos="-720"/>
        <w:tab w:val="left" w:pos="0"/>
      </w:tabs>
      <w:suppressAutoHyphens/>
      <w:jc w:val="both"/>
    </w:pPr>
    <w:rPr>
      <w:sz w:val="24"/>
    </w:rPr>
  </w:style>
  <w:style w:type="paragraph" w:customStyle="1" w:styleId="a">
    <w:basedOn w:val="Normal"/>
    <w:next w:val="BodyTextIndent"/>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rsid w:val="00324375"/>
    <w:pPr>
      <w:spacing w:after="120"/>
      <w:ind w:left="283"/>
    </w:pPr>
  </w:style>
  <w:style w:type="character" w:customStyle="1" w:styleId="style11">
    <w:name w:val="style11"/>
    <w:basedOn w:val="DefaultParagraphFont"/>
    <w:rsid w:val="00B80E53"/>
    <w:rPr>
      <w:sz w:val="24"/>
      <w:szCs w:val="24"/>
    </w:rPr>
  </w:style>
  <w:style w:type="paragraph" w:styleId="HTMLPreformatted">
    <w:name w:val="HTML Preformatted"/>
    <w:basedOn w:val="Normal"/>
    <w:link w:val="HTMLPreformattedCh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Header">
    <w:name w:val="header"/>
    <w:basedOn w:val="Normal"/>
    <w:link w:val="HeaderChar"/>
    <w:uiPriority w:val="99"/>
    <w:rsid w:val="00E65D89"/>
    <w:pPr>
      <w:tabs>
        <w:tab w:val="center" w:pos="4252"/>
        <w:tab w:val="right" w:pos="8504"/>
      </w:tabs>
    </w:pPr>
  </w:style>
  <w:style w:type="character" w:customStyle="1" w:styleId="HeaderChar">
    <w:name w:val="Header Char"/>
    <w:basedOn w:val="DefaultParagraphFont"/>
    <w:link w:val="Header"/>
    <w:uiPriority w:val="99"/>
    <w:rsid w:val="00E65D89"/>
  </w:style>
  <w:style w:type="paragraph" w:styleId="Footer">
    <w:name w:val="footer"/>
    <w:basedOn w:val="Normal"/>
    <w:link w:val="FooterChar"/>
    <w:uiPriority w:val="99"/>
    <w:rsid w:val="00E65D89"/>
    <w:pPr>
      <w:tabs>
        <w:tab w:val="center" w:pos="4252"/>
        <w:tab w:val="right" w:pos="8504"/>
      </w:tabs>
    </w:pPr>
  </w:style>
  <w:style w:type="character" w:customStyle="1" w:styleId="FooterChar">
    <w:name w:val="Footer Char"/>
    <w:basedOn w:val="DefaultParagraphFont"/>
    <w:link w:val="Footer"/>
    <w:uiPriority w:val="99"/>
    <w:rsid w:val="00E65D89"/>
  </w:style>
  <w:style w:type="paragraph" w:styleId="BalloonText">
    <w:name w:val="Balloon Text"/>
    <w:basedOn w:val="Normal"/>
    <w:link w:val="BalloonTextChar"/>
    <w:rsid w:val="00E65D89"/>
    <w:rPr>
      <w:rFonts w:ascii="Tahoma" w:hAnsi="Tahoma" w:cs="Tahoma"/>
      <w:sz w:val="16"/>
      <w:szCs w:val="16"/>
    </w:rPr>
  </w:style>
  <w:style w:type="character" w:customStyle="1" w:styleId="BalloonTextChar">
    <w:name w:val="Balloon Text Char"/>
    <w:basedOn w:val="DefaultParagraphFont"/>
    <w:link w:val="BalloonText"/>
    <w:rsid w:val="00E65D89"/>
    <w:rPr>
      <w:rFonts w:ascii="Tahoma" w:hAnsi="Tahoma" w:cs="Tahoma"/>
      <w:sz w:val="16"/>
      <w:szCs w:val="16"/>
    </w:rPr>
  </w:style>
  <w:style w:type="character" w:styleId="PageNumber">
    <w:name w:val="page number"/>
    <w:basedOn w:val="DefaultParagraphFont"/>
    <w:rsid w:val="00E65D89"/>
  </w:style>
  <w:style w:type="character" w:styleId="Hyperlink">
    <w:name w:val="Hyperlink"/>
    <w:basedOn w:val="DefaultParagraphFont"/>
    <w:rsid w:val="00806DB7"/>
    <w:rPr>
      <w:color w:val="0000FF" w:themeColor="hyperlink"/>
      <w:u w:val="single"/>
    </w:rPr>
  </w:style>
  <w:style w:type="paragraph" w:styleId="ListParagraph">
    <w:name w:val="List Paragraph"/>
    <w:basedOn w:val="Normal"/>
    <w:qFormat/>
    <w:rsid w:val="0062538C"/>
    <w:pPr>
      <w:suppressAutoHyphens/>
      <w:ind w:left="708"/>
    </w:pPr>
    <w:rPr>
      <w:lang w:eastAsia="ar-SA"/>
    </w:rPr>
  </w:style>
  <w:style w:type="character" w:customStyle="1" w:styleId="HTMLPreformattedChar">
    <w:name w:val="HTML Preformatted Char"/>
    <w:basedOn w:val="DefaultParagraphFont"/>
    <w:link w:val="HTMLPreformatted"/>
    <w:uiPriority w:val="99"/>
    <w:locked/>
    <w:rsid w:val="004F0BD5"/>
    <w:rPr>
      <w:rFonts w:ascii="Courier New" w:eastAsia="MS Mincho" w:hAnsi="Courier New" w:cs="Courier New"/>
      <w:lang w:val="es-ES_tradnl" w:eastAsia="ja-JP"/>
    </w:rPr>
  </w:style>
  <w:style w:type="paragraph" w:customStyle="1" w:styleId="Area">
    <w:name w:val="Area"/>
    <w:basedOn w:val="Normal"/>
    <w:rsid w:val="00AA5294"/>
    <w:pPr>
      <w:spacing w:line="200" w:lineRule="exact"/>
      <w:jc w:val="both"/>
    </w:pPr>
    <w:rPr>
      <w:rFonts w:ascii="Arial" w:eastAsia="Cambria" w:hAnsi="Arial" w:cs="Arial"/>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587">
      <w:bodyDiv w:val="1"/>
      <w:marLeft w:val="0"/>
      <w:marRight w:val="0"/>
      <w:marTop w:val="0"/>
      <w:marBottom w:val="0"/>
      <w:divBdr>
        <w:top w:val="none" w:sz="0" w:space="0" w:color="auto"/>
        <w:left w:val="none" w:sz="0" w:space="0" w:color="auto"/>
        <w:bottom w:val="none" w:sz="0" w:space="0" w:color="auto"/>
        <w:right w:val="none" w:sz="0" w:space="0" w:color="auto"/>
      </w:divBdr>
    </w:div>
    <w:div w:id="189799454">
      <w:bodyDiv w:val="1"/>
      <w:marLeft w:val="0"/>
      <w:marRight w:val="0"/>
      <w:marTop w:val="0"/>
      <w:marBottom w:val="0"/>
      <w:divBdr>
        <w:top w:val="none" w:sz="0" w:space="0" w:color="auto"/>
        <w:left w:val="none" w:sz="0" w:space="0" w:color="auto"/>
        <w:bottom w:val="none" w:sz="0" w:space="0" w:color="auto"/>
        <w:right w:val="none" w:sz="0" w:space="0" w:color="auto"/>
      </w:divBdr>
    </w:div>
    <w:div w:id="268438694">
      <w:bodyDiv w:val="1"/>
      <w:marLeft w:val="0"/>
      <w:marRight w:val="0"/>
      <w:marTop w:val="0"/>
      <w:marBottom w:val="0"/>
      <w:divBdr>
        <w:top w:val="none" w:sz="0" w:space="0" w:color="auto"/>
        <w:left w:val="none" w:sz="0" w:space="0" w:color="auto"/>
        <w:bottom w:val="none" w:sz="0" w:space="0" w:color="auto"/>
        <w:right w:val="none" w:sz="0" w:space="0" w:color="auto"/>
      </w:divBdr>
    </w:div>
    <w:div w:id="307369744">
      <w:bodyDiv w:val="1"/>
      <w:marLeft w:val="0"/>
      <w:marRight w:val="0"/>
      <w:marTop w:val="0"/>
      <w:marBottom w:val="0"/>
      <w:divBdr>
        <w:top w:val="none" w:sz="0" w:space="0" w:color="auto"/>
        <w:left w:val="none" w:sz="0" w:space="0" w:color="auto"/>
        <w:bottom w:val="none" w:sz="0" w:space="0" w:color="auto"/>
        <w:right w:val="none" w:sz="0" w:space="0" w:color="auto"/>
      </w:divBdr>
    </w:div>
    <w:div w:id="398091105">
      <w:bodyDiv w:val="1"/>
      <w:marLeft w:val="0"/>
      <w:marRight w:val="0"/>
      <w:marTop w:val="0"/>
      <w:marBottom w:val="0"/>
      <w:divBdr>
        <w:top w:val="none" w:sz="0" w:space="0" w:color="auto"/>
        <w:left w:val="none" w:sz="0" w:space="0" w:color="auto"/>
        <w:bottom w:val="none" w:sz="0" w:space="0" w:color="auto"/>
        <w:right w:val="none" w:sz="0" w:space="0" w:color="auto"/>
      </w:divBdr>
    </w:div>
    <w:div w:id="434832311">
      <w:bodyDiv w:val="1"/>
      <w:marLeft w:val="0"/>
      <w:marRight w:val="0"/>
      <w:marTop w:val="0"/>
      <w:marBottom w:val="0"/>
      <w:divBdr>
        <w:top w:val="none" w:sz="0" w:space="0" w:color="auto"/>
        <w:left w:val="none" w:sz="0" w:space="0" w:color="auto"/>
        <w:bottom w:val="none" w:sz="0" w:space="0" w:color="auto"/>
        <w:right w:val="none" w:sz="0" w:space="0" w:color="auto"/>
      </w:divBdr>
    </w:div>
    <w:div w:id="440882841">
      <w:bodyDiv w:val="1"/>
      <w:marLeft w:val="0"/>
      <w:marRight w:val="0"/>
      <w:marTop w:val="0"/>
      <w:marBottom w:val="0"/>
      <w:divBdr>
        <w:top w:val="none" w:sz="0" w:space="0" w:color="auto"/>
        <w:left w:val="none" w:sz="0" w:space="0" w:color="auto"/>
        <w:bottom w:val="none" w:sz="0" w:space="0" w:color="auto"/>
        <w:right w:val="none" w:sz="0" w:space="0" w:color="auto"/>
      </w:divBdr>
    </w:div>
    <w:div w:id="531841555">
      <w:bodyDiv w:val="1"/>
      <w:marLeft w:val="0"/>
      <w:marRight w:val="0"/>
      <w:marTop w:val="0"/>
      <w:marBottom w:val="0"/>
      <w:divBdr>
        <w:top w:val="none" w:sz="0" w:space="0" w:color="auto"/>
        <w:left w:val="none" w:sz="0" w:space="0" w:color="auto"/>
        <w:bottom w:val="none" w:sz="0" w:space="0" w:color="auto"/>
        <w:right w:val="none" w:sz="0" w:space="0" w:color="auto"/>
      </w:divBdr>
      <w:divsChild>
        <w:div w:id="842281621">
          <w:marLeft w:val="0"/>
          <w:marRight w:val="0"/>
          <w:marTop w:val="0"/>
          <w:marBottom w:val="0"/>
          <w:divBdr>
            <w:top w:val="none" w:sz="0" w:space="0" w:color="auto"/>
            <w:left w:val="none" w:sz="0" w:space="0" w:color="auto"/>
            <w:bottom w:val="none" w:sz="0" w:space="0" w:color="auto"/>
            <w:right w:val="none" w:sz="0" w:space="0" w:color="auto"/>
          </w:divBdr>
        </w:div>
      </w:divsChild>
    </w:div>
    <w:div w:id="552815366">
      <w:bodyDiv w:val="1"/>
      <w:marLeft w:val="0"/>
      <w:marRight w:val="0"/>
      <w:marTop w:val="0"/>
      <w:marBottom w:val="0"/>
      <w:divBdr>
        <w:top w:val="none" w:sz="0" w:space="0" w:color="auto"/>
        <w:left w:val="none" w:sz="0" w:space="0" w:color="auto"/>
        <w:bottom w:val="none" w:sz="0" w:space="0" w:color="auto"/>
        <w:right w:val="none" w:sz="0" w:space="0" w:color="auto"/>
      </w:divBdr>
    </w:div>
    <w:div w:id="631440583">
      <w:bodyDiv w:val="1"/>
      <w:marLeft w:val="0"/>
      <w:marRight w:val="0"/>
      <w:marTop w:val="0"/>
      <w:marBottom w:val="0"/>
      <w:divBdr>
        <w:top w:val="none" w:sz="0" w:space="0" w:color="auto"/>
        <w:left w:val="none" w:sz="0" w:space="0" w:color="auto"/>
        <w:bottom w:val="none" w:sz="0" w:space="0" w:color="auto"/>
        <w:right w:val="none" w:sz="0" w:space="0" w:color="auto"/>
      </w:divBdr>
    </w:div>
    <w:div w:id="684282195">
      <w:bodyDiv w:val="1"/>
      <w:marLeft w:val="0"/>
      <w:marRight w:val="0"/>
      <w:marTop w:val="0"/>
      <w:marBottom w:val="0"/>
      <w:divBdr>
        <w:top w:val="none" w:sz="0" w:space="0" w:color="auto"/>
        <w:left w:val="none" w:sz="0" w:space="0" w:color="auto"/>
        <w:bottom w:val="none" w:sz="0" w:space="0" w:color="auto"/>
        <w:right w:val="none" w:sz="0" w:space="0" w:color="auto"/>
      </w:divBdr>
    </w:div>
    <w:div w:id="688261647">
      <w:bodyDiv w:val="1"/>
      <w:marLeft w:val="0"/>
      <w:marRight w:val="0"/>
      <w:marTop w:val="0"/>
      <w:marBottom w:val="0"/>
      <w:divBdr>
        <w:top w:val="none" w:sz="0" w:space="0" w:color="auto"/>
        <w:left w:val="none" w:sz="0" w:space="0" w:color="auto"/>
        <w:bottom w:val="none" w:sz="0" w:space="0" w:color="auto"/>
        <w:right w:val="none" w:sz="0" w:space="0" w:color="auto"/>
      </w:divBdr>
    </w:div>
    <w:div w:id="698629479">
      <w:bodyDiv w:val="1"/>
      <w:marLeft w:val="0"/>
      <w:marRight w:val="0"/>
      <w:marTop w:val="0"/>
      <w:marBottom w:val="0"/>
      <w:divBdr>
        <w:top w:val="none" w:sz="0" w:space="0" w:color="auto"/>
        <w:left w:val="none" w:sz="0" w:space="0" w:color="auto"/>
        <w:bottom w:val="none" w:sz="0" w:space="0" w:color="auto"/>
        <w:right w:val="none" w:sz="0" w:space="0" w:color="auto"/>
      </w:divBdr>
    </w:div>
    <w:div w:id="722749551">
      <w:bodyDiv w:val="1"/>
      <w:marLeft w:val="0"/>
      <w:marRight w:val="0"/>
      <w:marTop w:val="0"/>
      <w:marBottom w:val="0"/>
      <w:divBdr>
        <w:top w:val="none" w:sz="0" w:space="0" w:color="auto"/>
        <w:left w:val="none" w:sz="0" w:space="0" w:color="auto"/>
        <w:bottom w:val="none" w:sz="0" w:space="0" w:color="auto"/>
        <w:right w:val="none" w:sz="0" w:space="0" w:color="auto"/>
      </w:divBdr>
    </w:div>
    <w:div w:id="774444156">
      <w:bodyDiv w:val="1"/>
      <w:marLeft w:val="0"/>
      <w:marRight w:val="0"/>
      <w:marTop w:val="0"/>
      <w:marBottom w:val="0"/>
      <w:divBdr>
        <w:top w:val="none" w:sz="0" w:space="0" w:color="auto"/>
        <w:left w:val="none" w:sz="0" w:space="0" w:color="auto"/>
        <w:bottom w:val="none" w:sz="0" w:space="0" w:color="auto"/>
        <w:right w:val="none" w:sz="0" w:space="0" w:color="auto"/>
      </w:divBdr>
    </w:div>
    <w:div w:id="822281312">
      <w:bodyDiv w:val="1"/>
      <w:marLeft w:val="0"/>
      <w:marRight w:val="0"/>
      <w:marTop w:val="0"/>
      <w:marBottom w:val="0"/>
      <w:divBdr>
        <w:top w:val="none" w:sz="0" w:space="0" w:color="auto"/>
        <w:left w:val="none" w:sz="0" w:space="0" w:color="auto"/>
        <w:bottom w:val="none" w:sz="0" w:space="0" w:color="auto"/>
        <w:right w:val="none" w:sz="0" w:space="0" w:color="auto"/>
      </w:divBdr>
    </w:div>
    <w:div w:id="855002399">
      <w:bodyDiv w:val="1"/>
      <w:marLeft w:val="0"/>
      <w:marRight w:val="0"/>
      <w:marTop w:val="0"/>
      <w:marBottom w:val="0"/>
      <w:divBdr>
        <w:top w:val="none" w:sz="0" w:space="0" w:color="auto"/>
        <w:left w:val="none" w:sz="0" w:space="0" w:color="auto"/>
        <w:bottom w:val="none" w:sz="0" w:space="0" w:color="auto"/>
        <w:right w:val="none" w:sz="0" w:space="0" w:color="auto"/>
      </w:divBdr>
    </w:div>
    <w:div w:id="882521034">
      <w:bodyDiv w:val="1"/>
      <w:marLeft w:val="0"/>
      <w:marRight w:val="0"/>
      <w:marTop w:val="0"/>
      <w:marBottom w:val="0"/>
      <w:divBdr>
        <w:top w:val="none" w:sz="0" w:space="0" w:color="auto"/>
        <w:left w:val="none" w:sz="0" w:space="0" w:color="auto"/>
        <w:bottom w:val="none" w:sz="0" w:space="0" w:color="auto"/>
        <w:right w:val="none" w:sz="0" w:space="0" w:color="auto"/>
      </w:divBdr>
    </w:div>
    <w:div w:id="883755748">
      <w:bodyDiv w:val="1"/>
      <w:marLeft w:val="0"/>
      <w:marRight w:val="0"/>
      <w:marTop w:val="0"/>
      <w:marBottom w:val="0"/>
      <w:divBdr>
        <w:top w:val="none" w:sz="0" w:space="0" w:color="auto"/>
        <w:left w:val="none" w:sz="0" w:space="0" w:color="auto"/>
        <w:bottom w:val="none" w:sz="0" w:space="0" w:color="auto"/>
        <w:right w:val="none" w:sz="0" w:space="0" w:color="auto"/>
      </w:divBdr>
    </w:div>
    <w:div w:id="891044184">
      <w:bodyDiv w:val="1"/>
      <w:marLeft w:val="0"/>
      <w:marRight w:val="0"/>
      <w:marTop w:val="0"/>
      <w:marBottom w:val="0"/>
      <w:divBdr>
        <w:top w:val="none" w:sz="0" w:space="0" w:color="auto"/>
        <w:left w:val="none" w:sz="0" w:space="0" w:color="auto"/>
        <w:bottom w:val="none" w:sz="0" w:space="0" w:color="auto"/>
        <w:right w:val="none" w:sz="0" w:space="0" w:color="auto"/>
      </w:divBdr>
    </w:div>
    <w:div w:id="894505203">
      <w:bodyDiv w:val="1"/>
      <w:marLeft w:val="0"/>
      <w:marRight w:val="0"/>
      <w:marTop w:val="0"/>
      <w:marBottom w:val="0"/>
      <w:divBdr>
        <w:top w:val="none" w:sz="0" w:space="0" w:color="auto"/>
        <w:left w:val="none" w:sz="0" w:space="0" w:color="auto"/>
        <w:bottom w:val="none" w:sz="0" w:space="0" w:color="auto"/>
        <w:right w:val="none" w:sz="0" w:space="0" w:color="auto"/>
      </w:divBdr>
    </w:div>
    <w:div w:id="949435457">
      <w:bodyDiv w:val="1"/>
      <w:marLeft w:val="0"/>
      <w:marRight w:val="0"/>
      <w:marTop w:val="0"/>
      <w:marBottom w:val="0"/>
      <w:divBdr>
        <w:top w:val="none" w:sz="0" w:space="0" w:color="auto"/>
        <w:left w:val="none" w:sz="0" w:space="0" w:color="auto"/>
        <w:bottom w:val="none" w:sz="0" w:space="0" w:color="auto"/>
        <w:right w:val="none" w:sz="0" w:space="0" w:color="auto"/>
      </w:divBdr>
    </w:div>
    <w:div w:id="976688618">
      <w:bodyDiv w:val="1"/>
      <w:marLeft w:val="0"/>
      <w:marRight w:val="0"/>
      <w:marTop w:val="0"/>
      <w:marBottom w:val="0"/>
      <w:divBdr>
        <w:top w:val="none" w:sz="0" w:space="0" w:color="auto"/>
        <w:left w:val="none" w:sz="0" w:space="0" w:color="auto"/>
        <w:bottom w:val="none" w:sz="0" w:space="0" w:color="auto"/>
        <w:right w:val="none" w:sz="0" w:space="0" w:color="auto"/>
      </w:divBdr>
    </w:div>
    <w:div w:id="993221244">
      <w:bodyDiv w:val="1"/>
      <w:marLeft w:val="0"/>
      <w:marRight w:val="0"/>
      <w:marTop w:val="0"/>
      <w:marBottom w:val="0"/>
      <w:divBdr>
        <w:top w:val="none" w:sz="0" w:space="0" w:color="auto"/>
        <w:left w:val="none" w:sz="0" w:space="0" w:color="auto"/>
        <w:bottom w:val="none" w:sz="0" w:space="0" w:color="auto"/>
        <w:right w:val="none" w:sz="0" w:space="0" w:color="auto"/>
      </w:divBdr>
    </w:div>
    <w:div w:id="1071349575">
      <w:bodyDiv w:val="1"/>
      <w:marLeft w:val="0"/>
      <w:marRight w:val="0"/>
      <w:marTop w:val="0"/>
      <w:marBottom w:val="0"/>
      <w:divBdr>
        <w:top w:val="none" w:sz="0" w:space="0" w:color="auto"/>
        <w:left w:val="none" w:sz="0" w:space="0" w:color="auto"/>
        <w:bottom w:val="none" w:sz="0" w:space="0" w:color="auto"/>
        <w:right w:val="none" w:sz="0" w:space="0" w:color="auto"/>
      </w:divBdr>
    </w:div>
    <w:div w:id="1125807352">
      <w:bodyDiv w:val="1"/>
      <w:marLeft w:val="0"/>
      <w:marRight w:val="0"/>
      <w:marTop w:val="0"/>
      <w:marBottom w:val="0"/>
      <w:divBdr>
        <w:top w:val="none" w:sz="0" w:space="0" w:color="auto"/>
        <w:left w:val="none" w:sz="0" w:space="0" w:color="auto"/>
        <w:bottom w:val="none" w:sz="0" w:space="0" w:color="auto"/>
        <w:right w:val="none" w:sz="0" w:space="0" w:color="auto"/>
      </w:divBdr>
    </w:div>
    <w:div w:id="1140684492">
      <w:bodyDiv w:val="1"/>
      <w:marLeft w:val="0"/>
      <w:marRight w:val="0"/>
      <w:marTop w:val="0"/>
      <w:marBottom w:val="0"/>
      <w:divBdr>
        <w:top w:val="none" w:sz="0" w:space="0" w:color="auto"/>
        <w:left w:val="none" w:sz="0" w:space="0" w:color="auto"/>
        <w:bottom w:val="none" w:sz="0" w:space="0" w:color="auto"/>
        <w:right w:val="none" w:sz="0" w:space="0" w:color="auto"/>
      </w:divBdr>
    </w:div>
    <w:div w:id="1151287268">
      <w:bodyDiv w:val="1"/>
      <w:marLeft w:val="0"/>
      <w:marRight w:val="0"/>
      <w:marTop w:val="0"/>
      <w:marBottom w:val="0"/>
      <w:divBdr>
        <w:top w:val="none" w:sz="0" w:space="0" w:color="auto"/>
        <w:left w:val="none" w:sz="0" w:space="0" w:color="auto"/>
        <w:bottom w:val="none" w:sz="0" w:space="0" w:color="auto"/>
        <w:right w:val="none" w:sz="0" w:space="0" w:color="auto"/>
      </w:divBdr>
    </w:div>
    <w:div w:id="1196307608">
      <w:bodyDiv w:val="1"/>
      <w:marLeft w:val="0"/>
      <w:marRight w:val="0"/>
      <w:marTop w:val="0"/>
      <w:marBottom w:val="0"/>
      <w:divBdr>
        <w:top w:val="none" w:sz="0" w:space="0" w:color="auto"/>
        <w:left w:val="none" w:sz="0" w:space="0" w:color="auto"/>
        <w:bottom w:val="none" w:sz="0" w:space="0" w:color="auto"/>
        <w:right w:val="none" w:sz="0" w:space="0" w:color="auto"/>
      </w:divBdr>
    </w:div>
    <w:div w:id="1245068276">
      <w:bodyDiv w:val="1"/>
      <w:marLeft w:val="0"/>
      <w:marRight w:val="0"/>
      <w:marTop w:val="0"/>
      <w:marBottom w:val="0"/>
      <w:divBdr>
        <w:top w:val="none" w:sz="0" w:space="0" w:color="auto"/>
        <w:left w:val="none" w:sz="0" w:space="0" w:color="auto"/>
        <w:bottom w:val="none" w:sz="0" w:space="0" w:color="auto"/>
        <w:right w:val="none" w:sz="0" w:space="0" w:color="auto"/>
      </w:divBdr>
    </w:div>
    <w:div w:id="1313103565">
      <w:bodyDiv w:val="1"/>
      <w:marLeft w:val="0"/>
      <w:marRight w:val="0"/>
      <w:marTop w:val="0"/>
      <w:marBottom w:val="0"/>
      <w:divBdr>
        <w:top w:val="none" w:sz="0" w:space="0" w:color="auto"/>
        <w:left w:val="none" w:sz="0" w:space="0" w:color="auto"/>
        <w:bottom w:val="none" w:sz="0" w:space="0" w:color="auto"/>
        <w:right w:val="none" w:sz="0" w:space="0" w:color="auto"/>
      </w:divBdr>
    </w:div>
    <w:div w:id="1313488805">
      <w:bodyDiv w:val="1"/>
      <w:marLeft w:val="0"/>
      <w:marRight w:val="0"/>
      <w:marTop w:val="0"/>
      <w:marBottom w:val="0"/>
      <w:divBdr>
        <w:top w:val="none" w:sz="0" w:space="0" w:color="auto"/>
        <w:left w:val="none" w:sz="0" w:space="0" w:color="auto"/>
        <w:bottom w:val="none" w:sz="0" w:space="0" w:color="auto"/>
        <w:right w:val="none" w:sz="0" w:space="0" w:color="auto"/>
      </w:divBdr>
    </w:div>
    <w:div w:id="1350567353">
      <w:bodyDiv w:val="1"/>
      <w:marLeft w:val="0"/>
      <w:marRight w:val="0"/>
      <w:marTop w:val="0"/>
      <w:marBottom w:val="0"/>
      <w:divBdr>
        <w:top w:val="none" w:sz="0" w:space="0" w:color="auto"/>
        <w:left w:val="none" w:sz="0" w:space="0" w:color="auto"/>
        <w:bottom w:val="none" w:sz="0" w:space="0" w:color="auto"/>
        <w:right w:val="none" w:sz="0" w:space="0" w:color="auto"/>
      </w:divBdr>
    </w:div>
    <w:div w:id="1386637756">
      <w:bodyDiv w:val="1"/>
      <w:marLeft w:val="0"/>
      <w:marRight w:val="0"/>
      <w:marTop w:val="0"/>
      <w:marBottom w:val="0"/>
      <w:divBdr>
        <w:top w:val="none" w:sz="0" w:space="0" w:color="auto"/>
        <w:left w:val="none" w:sz="0" w:space="0" w:color="auto"/>
        <w:bottom w:val="none" w:sz="0" w:space="0" w:color="auto"/>
        <w:right w:val="none" w:sz="0" w:space="0" w:color="auto"/>
      </w:divBdr>
    </w:div>
    <w:div w:id="1449616270">
      <w:bodyDiv w:val="1"/>
      <w:marLeft w:val="0"/>
      <w:marRight w:val="0"/>
      <w:marTop w:val="0"/>
      <w:marBottom w:val="0"/>
      <w:divBdr>
        <w:top w:val="none" w:sz="0" w:space="0" w:color="auto"/>
        <w:left w:val="none" w:sz="0" w:space="0" w:color="auto"/>
        <w:bottom w:val="none" w:sz="0" w:space="0" w:color="auto"/>
        <w:right w:val="none" w:sz="0" w:space="0" w:color="auto"/>
      </w:divBdr>
    </w:div>
    <w:div w:id="1478035315">
      <w:bodyDiv w:val="1"/>
      <w:marLeft w:val="0"/>
      <w:marRight w:val="0"/>
      <w:marTop w:val="0"/>
      <w:marBottom w:val="0"/>
      <w:divBdr>
        <w:top w:val="none" w:sz="0" w:space="0" w:color="auto"/>
        <w:left w:val="none" w:sz="0" w:space="0" w:color="auto"/>
        <w:bottom w:val="none" w:sz="0" w:space="0" w:color="auto"/>
        <w:right w:val="none" w:sz="0" w:space="0" w:color="auto"/>
      </w:divBdr>
    </w:div>
    <w:div w:id="1493834909">
      <w:bodyDiv w:val="1"/>
      <w:marLeft w:val="0"/>
      <w:marRight w:val="0"/>
      <w:marTop w:val="0"/>
      <w:marBottom w:val="0"/>
      <w:divBdr>
        <w:top w:val="none" w:sz="0" w:space="0" w:color="auto"/>
        <w:left w:val="none" w:sz="0" w:space="0" w:color="auto"/>
        <w:bottom w:val="none" w:sz="0" w:space="0" w:color="auto"/>
        <w:right w:val="none" w:sz="0" w:space="0" w:color="auto"/>
      </w:divBdr>
    </w:div>
    <w:div w:id="1493982397">
      <w:bodyDiv w:val="1"/>
      <w:marLeft w:val="0"/>
      <w:marRight w:val="0"/>
      <w:marTop w:val="0"/>
      <w:marBottom w:val="0"/>
      <w:divBdr>
        <w:top w:val="none" w:sz="0" w:space="0" w:color="auto"/>
        <w:left w:val="none" w:sz="0" w:space="0" w:color="auto"/>
        <w:bottom w:val="none" w:sz="0" w:space="0" w:color="auto"/>
        <w:right w:val="none" w:sz="0" w:space="0" w:color="auto"/>
      </w:divBdr>
    </w:div>
    <w:div w:id="1502357597">
      <w:bodyDiv w:val="1"/>
      <w:marLeft w:val="0"/>
      <w:marRight w:val="0"/>
      <w:marTop w:val="0"/>
      <w:marBottom w:val="0"/>
      <w:divBdr>
        <w:top w:val="none" w:sz="0" w:space="0" w:color="auto"/>
        <w:left w:val="none" w:sz="0" w:space="0" w:color="auto"/>
        <w:bottom w:val="none" w:sz="0" w:space="0" w:color="auto"/>
        <w:right w:val="none" w:sz="0" w:space="0" w:color="auto"/>
      </w:divBdr>
    </w:div>
    <w:div w:id="1536430993">
      <w:bodyDiv w:val="1"/>
      <w:marLeft w:val="0"/>
      <w:marRight w:val="0"/>
      <w:marTop w:val="0"/>
      <w:marBottom w:val="0"/>
      <w:divBdr>
        <w:top w:val="none" w:sz="0" w:space="0" w:color="auto"/>
        <w:left w:val="none" w:sz="0" w:space="0" w:color="auto"/>
        <w:bottom w:val="none" w:sz="0" w:space="0" w:color="auto"/>
        <w:right w:val="none" w:sz="0" w:space="0" w:color="auto"/>
      </w:divBdr>
    </w:div>
    <w:div w:id="1577739524">
      <w:bodyDiv w:val="1"/>
      <w:marLeft w:val="0"/>
      <w:marRight w:val="0"/>
      <w:marTop w:val="0"/>
      <w:marBottom w:val="0"/>
      <w:divBdr>
        <w:top w:val="none" w:sz="0" w:space="0" w:color="auto"/>
        <w:left w:val="none" w:sz="0" w:space="0" w:color="auto"/>
        <w:bottom w:val="none" w:sz="0" w:space="0" w:color="auto"/>
        <w:right w:val="none" w:sz="0" w:space="0" w:color="auto"/>
      </w:divBdr>
    </w:div>
    <w:div w:id="1613199507">
      <w:bodyDiv w:val="1"/>
      <w:marLeft w:val="0"/>
      <w:marRight w:val="0"/>
      <w:marTop w:val="0"/>
      <w:marBottom w:val="0"/>
      <w:divBdr>
        <w:top w:val="none" w:sz="0" w:space="0" w:color="auto"/>
        <w:left w:val="none" w:sz="0" w:space="0" w:color="auto"/>
        <w:bottom w:val="none" w:sz="0" w:space="0" w:color="auto"/>
        <w:right w:val="none" w:sz="0" w:space="0" w:color="auto"/>
      </w:divBdr>
    </w:div>
    <w:div w:id="1653675314">
      <w:bodyDiv w:val="1"/>
      <w:marLeft w:val="0"/>
      <w:marRight w:val="0"/>
      <w:marTop w:val="0"/>
      <w:marBottom w:val="0"/>
      <w:divBdr>
        <w:top w:val="none" w:sz="0" w:space="0" w:color="auto"/>
        <w:left w:val="none" w:sz="0" w:space="0" w:color="auto"/>
        <w:bottom w:val="none" w:sz="0" w:space="0" w:color="auto"/>
        <w:right w:val="none" w:sz="0" w:space="0" w:color="auto"/>
      </w:divBdr>
    </w:div>
    <w:div w:id="1692805261">
      <w:bodyDiv w:val="1"/>
      <w:marLeft w:val="0"/>
      <w:marRight w:val="0"/>
      <w:marTop w:val="0"/>
      <w:marBottom w:val="0"/>
      <w:divBdr>
        <w:top w:val="none" w:sz="0" w:space="0" w:color="auto"/>
        <w:left w:val="none" w:sz="0" w:space="0" w:color="auto"/>
        <w:bottom w:val="none" w:sz="0" w:space="0" w:color="auto"/>
        <w:right w:val="none" w:sz="0" w:space="0" w:color="auto"/>
      </w:divBdr>
    </w:div>
    <w:div w:id="1728410077">
      <w:bodyDiv w:val="1"/>
      <w:marLeft w:val="0"/>
      <w:marRight w:val="0"/>
      <w:marTop w:val="0"/>
      <w:marBottom w:val="0"/>
      <w:divBdr>
        <w:top w:val="none" w:sz="0" w:space="0" w:color="auto"/>
        <w:left w:val="none" w:sz="0" w:space="0" w:color="auto"/>
        <w:bottom w:val="none" w:sz="0" w:space="0" w:color="auto"/>
        <w:right w:val="none" w:sz="0" w:space="0" w:color="auto"/>
      </w:divBdr>
    </w:div>
    <w:div w:id="1849321357">
      <w:bodyDiv w:val="1"/>
      <w:marLeft w:val="0"/>
      <w:marRight w:val="0"/>
      <w:marTop w:val="0"/>
      <w:marBottom w:val="0"/>
      <w:divBdr>
        <w:top w:val="none" w:sz="0" w:space="0" w:color="auto"/>
        <w:left w:val="none" w:sz="0" w:space="0" w:color="auto"/>
        <w:bottom w:val="none" w:sz="0" w:space="0" w:color="auto"/>
        <w:right w:val="none" w:sz="0" w:space="0" w:color="auto"/>
      </w:divBdr>
    </w:div>
    <w:div w:id="1878199354">
      <w:bodyDiv w:val="1"/>
      <w:marLeft w:val="0"/>
      <w:marRight w:val="0"/>
      <w:marTop w:val="0"/>
      <w:marBottom w:val="0"/>
      <w:divBdr>
        <w:top w:val="none" w:sz="0" w:space="0" w:color="auto"/>
        <w:left w:val="none" w:sz="0" w:space="0" w:color="auto"/>
        <w:bottom w:val="none" w:sz="0" w:space="0" w:color="auto"/>
        <w:right w:val="none" w:sz="0" w:space="0" w:color="auto"/>
      </w:divBdr>
    </w:div>
    <w:div w:id="1899898278">
      <w:bodyDiv w:val="1"/>
      <w:marLeft w:val="0"/>
      <w:marRight w:val="0"/>
      <w:marTop w:val="0"/>
      <w:marBottom w:val="0"/>
      <w:divBdr>
        <w:top w:val="none" w:sz="0" w:space="0" w:color="auto"/>
        <w:left w:val="none" w:sz="0" w:space="0" w:color="auto"/>
        <w:bottom w:val="none" w:sz="0" w:space="0" w:color="auto"/>
        <w:right w:val="none" w:sz="0" w:space="0" w:color="auto"/>
      </w:divBdr>
    </w:div>
    <w:div w:id="1901091619">
      <w:bodyDiv w:val="1"/>
      <w:marLeft w:val="0"/>
      <w:marRight w:val="0"/>
      <w:marTop w:val="0"/>
      <w:marBottom w:val="0"/>
      <w:divBdr>
        <w:top w:val="none" w:sz="0" w:space="0" w:color="auto"/>
        <w:left w:val="none" w:sz="0" w:space="0" w:color="auto"/>
        <w:bottom w:val="none" w:sz="0" w:space="0" w:color="auto"/>
        <w:right w:val="none" w:sz="0" w:space="0" w:color="auto"/>
      </w:divBdr>
    </w:div>
    <w:div w:id="1907643833">
      <w:bodyDiv w:val="1"/>
      <w:marLeft w:val="0"/>
      <w:marRight w:val="0"/>
      <w:marTop w:val="0"/>
      <w:marBottom w:val="0"/>
      <w:divBdr>
        <w:top w:val="none" w:sz="0" w:space="0" w:color="auto"/>
        <w:left w:val="none" w:sz="0" w:space="0" w:color="auto"/>
        <w:bottom w:val="none" w:sz="0" w:space="0" w:color="auto"/>
        <w:right w:val="none" w:sz="0" w:space="0" w:color="auto"/>
      </w:divBdr>
    </w:div>
    <w:div w:id="1948780011">
      <w:bodyDiv w:val="1"/>
      <w:marLeft w:val="0"/>
      <w:marRight w:val="0"/>
      <w:marTop w:val="0"/>
      <w:marBottom w:val="0"/>
      <w:divBdr>
        <w:top w:val="none" w:sz="0" w:space="0" w:color="auto"/>
        <w:left w:val="none" w:sz="0" w:space="0" w:color="auto"/>
        <w:bottom w:val="none" w:sz="0" w:space="0" w:color="auto"/>
        <w:right w:val="none" w:sz="0" w:space="0" w:color="auto"/>
      </w:divBdr>
    </w:div>
    <w:div w:id="1998534445">
      <w:bodyDiv w:val="1"/>
      <w:marLeft w:val="0"/>
      <w:marRight w:val="0"/>
      <w:marTop w:val="0"/>
      <w:marBottom w:val="0"/>
      <w:divBdr>
        <w:top w:val="none" w:sz="0" w:space="0" w:color="auto"/>
        <w:left w:val="none" w:sz="0" w:space="0" w:color="auto"/>
        <w:bottom w:val="none" w:sz="0" w:space="0" w:color="auto"/>
        <w:right w:val="none" w:sz="0" w:space="0" w:color="auto"/>
      </w:divBdr>
    </w:div>
    <w:div w:id="2013991976">
      <w:bodyDiv w:val="1"/>
      <w:marLeft w:val="0"/>
      <w:marRight w:val="0"/>
      <w:marTop w:val="0"/>
      <w:marBottom w:val="0"/>
      <w:divBdr>
        <w:top w:val="none" w:sz="0" w:space="0" w:color="auto"/>
        <w:left w:val="none" w:sz="0" w:space="0" w:color="auto"/>
        <w:bottom w:val="none" w:sz="0" w:space="0" w:color="auto"/>
        <w:right w:val="none" w:sz="0" w:space="0" w:color="auto"/>
      </w:divBdr>
    </w:div>
    <w:div w:id="2025282178">
      <w:bodyDiv w:val="1"/>
      <w:marLeft w:val="0"/>
      <w:marRight w:val="0"/>
      <w:marTop w:val="0"/>
      <w:marBottom w:val="0"/>
      <w:divBdr>
        <w:top w:val="none" w:sz="0" w:space="0" w:color="auto"/>
        <w:left w:val="none" w:sz="0" w:space="0" w:color="auto"/>
        <w:bottom w:val="none" w:sz="0" w:space="0" w:color="auto"/>
        <w:right w:val="none" w:sz="0" w:space="0" w:color="auto"/>
      </w:divBdr>
    </w:div>
    <w:div w:id="2088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8234-77A9-4527-B748-59D94EC1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5964</Words>
  <Characters>32803</Characters>
  <Application>Microsoft Office Word</Application>
  <DocSecurity>2</DocSecurity>
  <Lines>273</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PRESUPUESTO GENERAL DEL CABILDO INSULAR DE TENERIFE</vt:lpstr>
      <vt:lpstr>PRESUPUESTO GENERAL DEL CABILDO INSULAR DE TENERIFE</vt:lpstr>
    </vt:vector>
  </TitlesOfParts>
  <Company>Cabildo Insular de Tenerife</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Ana Quesada Coello</cp:lastModifiedBy>
  <cp:revision>6</cp:revision>
  <cp:lastPrinted>2018-10-24T14:53:00Z</cp:lastPrinted>
  <dcterms:created xsi:type="dcterms:W3CDTF">2019-11-22T09:44:00Z</dcterms:created>
  <dcterms:modified xsi:type="dcterms:W3CDTF">2019-11-22T12:01:00Z</dcterms:modified>
</cp:coreProperties>
</file>