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13" w:rsidRPr="00D41F25" w:rsidRDefault="00F907F5" w:rsidP="0074309A">
      <w:pPr>
        <w:jc w:val="both"/>
        <w:rPr>
          <w:b/>
          <w:sz w:val="28"/>
        </w:rPr>
      </w:pPr>
      <w:r>
        <w:rPr>
          <w:b/>
          <w:sz w:val="28"/>
        </w:rPr>
        <w:t>Instituto Volcanológico de Canarias, S.A.U.</w:t>
      </w:r>
    </w:p>
    <w:p w:rsidR="008E0DF5" w:rsidRDefault="008E0DF5" w:rsidP="008E0DF5">
      <w:pPr>
        <w:spacing w:after="0" w:line="240" w:lineRule="auto"/>
        <w:jc w:val="both"/>
        <w:rPr>
          <w:sz w:val="20"/>
        </w:rPr>
      </w:pPr>
    </w:p>
    <w:p w:rsidR="008E0DF5" w:rsidRPr="008E0DF5" w:rsidRDefault="008E0DF5" w:rsidP="008E0DF5">
      <w:pPr>
        <w:spacing w:after="0" w:line="240" w:lineRule="auto"/>
        <w:jc w:val="both"/>
        <w:rPr>
          <w:sz w:val="20"/>
        </w:rPr>
      </w:pPr>
    </w:p>
    <w:p w:rsidR="00330822" w:rsidRPr="00330822" w:rsidRDefault="00330822" w:rsidP="0074309A">
      <w:pPr>
        <w:jc w:val="both"/>
      </w:pPr>
      <w:r w:rsidRPr="00330822">
        <w:t>Informe de Auditoria</w:t>
      </w:r>
    </w:p>
    <w:p w:rsidR="00330822" w:rsidRDefault="00330822" w:rsidP="0074309A">
      <w:pPr>
        <w:jc w:val="both"/>
      </w:pPr>
      <w:r w:rsidRPr="00330822">
        <w:t xml:space="preserve">Cuentas Anuales </w:t>
      </w:r>
    </w:p>
    <w:p w:rsidR="00330822" w:rsidRDefault="00330822" w:rsidP="0074309A">
      <w:pPr>
        <w:jc w:val="both"/>
      </w:pPr>
      <w:r>
        <w:t>A 31 de diciembre de 2017</w:t>
      </w: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Default="008E0DF5" w:rsidP="008E0DF5">
      <w:pPr>
        <w:spacing w:after="0" w:line="240" w:lineRule="auto"/>
        <w:jc w:val="both"/>
        <w:rPr>
          <w:sz w:val="20"/>
        </w:rPr>
      </w:pPr>
    </w:p>
    <w:p w:rsidR="008E0DF5" w:rsidRPr="008E0DF5" w:rsidRDefault="00EE7721" w:rsidP="008E0DF5">
      <w:pPr>
        <w:spacing w:after="0" w:line="240" w:lineRule="auto"/>
        <w:jc w:val="both"/>
        <w:rPr>
          <w:sz w:val="20"/>
        </w:rPr>
      </w:pPr>
      <w:r>
        <w:rPr>
          <w:sz w:val="20"/>
        </w:rPr>
        <w:t>A-76519925</w:t>
      </w:r>
    </w:p>
    <w:p w:rsidR="008E0DF5" w:rsidRDefault="008E0DF5" w:rsidP="008E0DF5">
      <w:pPr>
        <w:spacing w:after="0" w:line="240" w:lineRule="auto"/>
        <w:jc w:val="both"/>
        <w:rPr>
          <w:sz w:val="20"/>
        </w:rPr>
      </w:pPr>
      <w:r w:rsidRPr="008E0DF5">
        <w:rPr>
          <w:sz w:val="20"/>
        </w:rPr>
        <w:t>Polígono Industrial de Granadilla, s/n – 38600 Granadilla</w:t>
      </w:r>
    </w:p>
    <w:p w:rsidR="00EE7721" w:rsidRDefault="00EE7721" w:rsidP="008E0DF5">
      <w:pPr>
        <w:spacing w:after="0" w:line="240" w:lineRule="auto"/>
        <w:jc w:val="both"/>
        <w:rPr>
          <w:sz w:val="20"/>
        </w:rPr>
      </w:pPr>
    </w:p>
    <w:p w:rsidR="00EE7721" w:rsidRDefault="00EE7721" w:rsidP="008E0DF5">
      <w:pPr>
        <w:spacing w:after="0" w:line="240" w:lineRule="auto"/>
        <w:jc w:val="both"/>
        <w:rPr>
          <w:sz w:val="20"/>
        </w:rPr>
      </w:pPr>
    </w:p>
    <w:p w:rsidR="008E0DF5" w:rsidRDefault="008E0DF5" w:rsidP="008E0DF5">
      <w:pPr>
        <w:spacing w:after="0" w:line="240" w:lineRule="auto"/>
        <w:jc w:val="both"/>
        <w:rPr>
          <w:sz w:val="20"/>
        </w:rPr>
      </w:pPr>
    </w:p>
    <w:tbl>
      <w:tblPr>
        <w:tblW w:w="6640" w:type="dxa"/>
        <w:tblInd w:w="937" w:type="dxa"/>
        <w:tblCellMar>
          <w:left w:w="70" w:type="dxa"/>
          <w:right w:w="70" w:type="dxa"/>
        </w:tblCellMar>
        <w:tblLook w:val="04A0"/>
      </w:tblPr>
      <w:tblGrid>
        <w:gridCol w:w="2107"/>
        <w:gridCol w:w="4533"/>
      </w:tblGrid>
      <w:tr w:rsidR="00B0123B" w:rsidRPr="00B0123B" w:rsidTr="00821D35">
        <w:trPr>
          <w:trHeight w:val="360"/>
        </w:trPr>
        <w:tc>
          <w:tcPr>
            <w:tcW w:w="6640" w:type="dxa"/>
            <w:gridSpan w:val="2"/>
            <w:tcBorders>
              <w:top w:val="nil"/>
              <w:left w:val="nil"/>
              <w:bottom w:val="nil"/>
              <w:right w:val="nil"/>
            </w:tcBorders>
            <w:shd w:val="clear" w:color="000000" w:fill="BFBFBF"/>
            <w:noWrap/>
            <w:vAlign w:val="bottom"/>
            <w:hideMark/>
          </w:tcPr>
          <w:p w:rsidR="00B0123B" w:rsidRPr="00B0123B" w:rsidRDefault="00B0123B" w:rsidP="00B0123B">
            <w:pPr>
              <w:spacing w:after="0" w:line="240" w:lineRule="auto"/>
              <w:jc w:val="center"/>
              <w:rPr>
                <w:rFonts w:ascii="Calibri" w:eastAsia="Times New Roman" w:hAnsi="Calibri" w:cs="Times New Roman"/>
                <w:b/>
                <w:bCs/>
                <w:color w:val="000000"/>
                <w:lang w:eastAsia="es-ES"/>
              </w:rPr>
            </w:pPr>
            <w:r w:rsidRPr="00B0123B">
              <w:rPr>
                <w:rFonts w:ascii="Calibri" w:eastAsia="Times New Roman" w:hAnsi="Calibri" w:cs="Times New Roman"/>
                <w:b/>
                <w:bCs/>
                <w:color w:val="000000"/>
                <w:lang w:eastAsia="es-ES"/>
              </w:rPr>
              <w:t>Composición del Consejo I.V.C.</w:t>
            </w:r>
          </w:p>
        </w:tc>
      </w:tr>
      <w:tr w:rsidR="00821D35" w:rsidRPr="00B0123B" w:rsidTr="00821D35">
        <w:trPr>
          <w:trHeight w:val="615"/>
        </w:trPr>
        <w:tc>
          <w:tcPr>
            <w:tcW w:w="2107" w:type="dxa"/>
            <w:tcBorders>
              <w:top w:val="nil"/>
              <w:left w:val="nil"/>
              <w:bottom w:val="nil"/>
              <w:right w:val="nil"/>
            </w:tcBorders>
            <w:shd w:val="clear" w:color="auto" w:fill="auto"/>
            <w:noWrap/>
            <w:vAlign w:val="bottom"/>
            <w:hideMark/>
          </w:tcPr>
          <w:p w:rsidR="00821D35" w:rsidRPr="00B0123B" w:rsidRDefault="00821D35" w:rsidP="00B0123B">
            <w:pPr>
              <w:spacing w:after="0" w:line="240" w:lineRule="auto"/>
              <w:jc w:val="center"/>
              <w:rPr>
                <w:rFonts w:ascii="Calibri" w:eastAsia="Times New Roman" w:hAnsi="Calibri" w:cs="Times New Roman"/>
                <w:b/>
                <w:bCs/>
                <w:color w:val="000000"/>
                <w:lang w:eastAsia="es-ES"/>
              </w:rPr>
            </w:pPr>
          </w:p>
        </w:tc>
        <w:tc>
          <w:tcPr>
            <w:tcW w:w="4533" w:type="dxa"/>
            <w:tcBorders>
              <w:top w:val="nil"/>
              <w:left w:val="nil"/>
              <w:bottom w:val="nil"/>
              <w:right w:val="nil"/>
            </w:tcBorders>
            <w:shd w:val="clear" w:color="auto" w:fill="auto"/>
            <w:noWrap/>
            <w:vAlign w:val="bottom"/>
            <w:hideMark/>
          </w:tcPr>
          <w:p w:rsidR="00821D35" w:rsidRPr="00B0123B" w:rsidRDefault="00821D35" w:rsidP="00B0123B">
            <w:pPr>
              <w:spacing w:after="0" w:line="240" w:lineRule="auto"/>
              <w:rPr>
                <w:rFonts w:ascii="Times New Roman" w:eastAsia="Times New Roman" w:hAnsi="Times New Roman" w:cs="Times New Roman"/>
                <w:sz w:val="20"/>
                <w:szCs w:val="20"/>
                <w:lang w:eastAsia="es-ES"/>
              </w:rPr>
            </w:pPr>
          </w:p>
        </w:tc>
      </w:tr>
      <w:tr w:rsidR="00B0123B" w:rsidRPr="00B0123B" w:rsidTr="00821D35">
        <w:trPr>
          <w:trHeight w:val="615"/>
        </w:trPr>
        <w:tc>
          <w:tcPr>
            <w:tcW w:w="2107" w:type="dxa"/>
            <w:tcBorders>
              <w:top w:val="nil"/>
              <w:left w:val="nil"/>
              <w:bottom w:val="nil"/>
              <w:right w:val="nil"/>
            </w:tcBorders>
            <w:shd w:val="clear" w:color="auto" w:fill="auto"/>
            <w:noWrap/>
            <w:vAlign w:val="bottom"/>
            <w:hideMark/>
          </w:tcPr>
          <w:p w:rsidR="00B0123B" w:rsidRPr="00B0123B" w:rsidRDefault="00B0123B" w:rsidP="00B0123B">
            <w:pPr>
              <w:spacing w:after="0" w:line="240" w:lineRule="auto"/>
              <w:jc w:val="center"/>
              <w:rPr>
                <w:rFonts w:ascii="Calibri" w:eastAsia="Times New Roman" w:hAnsi="Calibri" w:cs="Times New Roman"/>
                <w:b/>
                <w:bCs/>
                <w:color w:val="000000"/>
                <w:lang w:eastAsia="es-ES"/>
              </w:rPr>
            </w:pPr>
          </w:p>
        </w:tc>
        <w:tc>
          <w:tcPr>
            <w:tcW w:w="4533" w:type="dxa"/>
            <w:tcBorders>
              <w:top w:val="nil"/>
              <w:left w:val="nil"/>
              <w:bottom w:val="nil"/>
              <w:right w:val="nil"/>
            </w:tcBorders>
            <w:shd w:val="clear" w:color="auto" w:fill="auto"/>
            <w:noWrap/>
            <w:vAlign w:val="bottom"/>
            <w:hideMark/>
          </w:tcPr>
          <w:p w:rsidR="00B0123B" w:rsidRPr="00B0123B" w:rsidRDefault="00B0123B" w:rsidP="00B0123B">
            <w:pPr>
              <w:spacing w:after="0" w:line="240" w:lineRule="auto"/>
              <w:rPr>
                <w:rFonts w:ascii="Times New Roman" w:eastAsia="Times New Roman" w:hAnsi="Times New Roman" w:cs="Times New Roman"/>
                <w:sz w:val="20"/>
                <w:szCs w:val="20"/>
                <w:lang w:eastAsia="es-ES"/>
              </w:rPr>
            </w:pPr>
          </w:p>
        </w:tc>
      </w:tr>
      <w:tr w:rsidR="00B0123B" w:rsidRPr="00B0123B" w:rsidTr="00821D35">
        <w:trPr>
          <w:trHeight w:val="402"/>
        </w:trPr>
        <w:tc>
          <w:tcPr>
            <w:tcW w:w="2107" w:type="dxa"/>
            <w:tcBorders>
              <w:top w:val="single" w:sz="4" w:space="0" w:color="auto"/>
              <w:left w:val="nil"/>
              <w:bottom w:val="single" w:sz="4" w:space="0" w:color="auto"/>
              <w:right w:val="nil"/>
            </w:tcBorders>
            <w:shd w:val="clear" w:color="000000" w:fill="BFBFBF"/>
            <w:noWrap/>
            <w:vAlign w:val="bottom"/>
            <w:hideMark/>
          </w:tcPr>
          <w:p w:rsidR="00B0123B" w:rsidRPr="00B0123B" w:rsidRDefault="00B0123B" w:rsidP="00B0123B">
            <w:pPr>
              <w:spacing w:after="0" w:line="240" w:lineRule="auto"/>
              <w:jc w:val="center"/>
              <w:rPr>
                <w:rFonts w:ascii="Calibri" w:eastAsia="Times New Roman" w:hAnsi="Calibri" w:cs="Times New Roman"/>
                <w:b/>
                <w:bCs/>
                <w:color w:val="000000"/>
                <w:lang w:eastAsia="es-ES"/>
              </w:rPr>
            </w:pPr>
            <w:r w:rsidRPr="00B0123B">
              <w:rPr>
                <w:rFonts w:ascii="Calibri" w:eastAsia="Times New Roman" w:hAnsi="Calibri" w:cs="Times New Roman"/>
                <w:b/>
                <w:bCs/>
                <w:color w:val="000000"/>
                <w:lang w:eastAsia="es-ES"/>
              </w:rPr>
              <w:t>Cargo</w:t>
            </w:r>
          </w:p>
        </w:tc>
        <w:tc>
          <w:tcPr>
            <w:tcW w:w="4533" w:type="dxa"/>
            <w:tcBorders>
              <w:top w:val="single" w:sz="4" w:space="0" w:color="auto"/>
              <w:left w:val="nil"/>
              <w:bottom w:val="single" w:sz="4" w:space="0" w:color="auto"/>
              <w:right w:val="nil"/>
            </w:tcBorders>
            <w:shd w:val="clear" w:color="000000" w:fill="BFBFBF"/>
            <w:noWrap/>
            <w:vAlign w:val="bottom"/>
            <w:hideMark/>
          </w:tcPr>
          <w:p w:rsidR="00B0123B" w:rsidRPr="00B0123B" w:rsidRDefault="00B0123B" w:rsidP="00B0123B">
            <w:pPr>
              <w:spacing w:after="0" w:line="240" w:lineRule="auto"/>
              <w:jc w:val="center"/>
              <w:rPr>
                <w:rFonts w:ascii="Calibri" w:eastAsia="Times New Roman" w:hAnsi="Calibri" w:cs="Times New Roman"/>
                <w:b/>
                <w:bCs/>
                <w:color w:val="000000"/>
                <w:lang w:eastAsia="es-ES"/>
              </w:rPr>
            </w:pPr>
            <w:r w:rsidRPr="00B0123B">
              <w:rPr>
                <w:rFonts w:ascii="Calibri" w:eastAsia="Times New Roman" w:hAnsi="Calibri" w:cs="Times New Roman"/>
                <w:b/>
                <w:bCs/>
                <w:color w:val="000000"/>
                <w:lang w:eastAsia="es-ES"/>
              </w:rPr>
              <w:t>Nombre</w:t>
            </w:r>
          </w:p>
        </w:tc>
      </w:tr>
      <w:tr w:rsidR="00B0123B" w:rsidRPr="00B0123B" w:rsidTr="00821D35">
        <w:trPr>
          <w:trHeight w:val="102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jc w:val="center"/>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Presidente</w:t>
            </w:r>
          </w:p>
        </w:tc>
        <w:tc>
          <w:tcPr>
            <w:tcW w:w="4533" w:type="dxa"/>
            <w:tcBorders>
              <w:top w:val="nil"/>
              <w:left w:val="nil"/>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D. Carlos Enrique Alonso Rodríguez</w:t>
            </w:r>
          </w:p>
        </w:tc>
      </w:tr>
      <w:tr w:rsidR="00B0123B" w:rsidRPr="00B0123B" w:rsidTr="00821D35">
        <w:trPr>
          <w:trHeight w:val="826"/>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jc w:val="center"/>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Secretario</w:t>
            </w:r>
          </w:p>
        </w:tc>
        <w:tc>
          <w:tcPr>
            <w:tcW w:w="4533" w:type="dxa"/>
            <w:tcBorders>
              <w:top w:val="nil"/>
              <w:left w:val="nil"/>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D. Eduardo Ballesteros Ruíz-Benítez de Lugo</w:t>
            </w:r>
          </w:p>
        </w:tc>
      </w:tr>
      <w:tr w:rsidR="00B0123B" w:rsidRPr="00B0123B" w:rsidTr="00821D35">
        <w:trPr>
          <w:trHeight w:val="838"/>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jc w:val="center"/>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Vocal</w:t>
            </w:r>
          </w:p>
        </w:tc>
        <w:tc>
          <w:tcPr>
            <w:tcW w:w="4533" w:type="dxa"/>
            <w:tcBorders>
              <w:top w:val="nil"/>
              <w:left w:val="nil"/>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D. Antonio Miguel García Marichal</w:t>
            </w:r>
          </w:p>
        </w:tc>
      </w:tr>
      <w:tr w:rsidR="00B0123B" w:rsidRPr="00B0123B" w:rsidTr="00821D35">
        <w:trPr>
          <w:trHeight w:val="850"/>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jc w:val="center"/>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Consejero-Delegado</w:t>
            </w:r>
          </w:p>
        </w:tc>
        <w:tc>
          <w:tcPr>
            <w:tcW w:w="4533" w:type="dxa"/>
            <w:tcBorders>
              <w:top w:val="nil"/>
              <w:left w:val="nil"/>
              <w:bottom w:val="single" w:sz="4" w:space="0" w:color="auto"/>
              <w:right w:val="single" w:sz="4" w:space="0" w:color="auto"/>
            </w:tcBorders>
            <w:shd w:val="clear" w:color="auto" w:fill="auto"/>
            <w:noWrap/>
            <w:vAlign w:val="center"/>
            <w:hideMark/>
          </w:tcPr>
          <w:p w:rsidR="00B0123B" w:rsidRPr="00B0123B" w:rsidRDefault="00B0123B" w:rsidP="00B0123B">
            <w:pPr>
              <w:spacing w:after="0" w:line="240" w:lineRule="auto"/>
              <w:rPr>
                <w:rFonts w:ascii="Calibri" w:eastAsia="Times New Roman" w:hAnsi="Calibri" w:cs="Times New Roman"/>
                <w:color w:val="000000"/>
                <w:lang w:eastAsia="es-ES"/>
              </w:rPr>
            </w:pPr>
            <w:r w:rsidRPr="00B0123B">
              <w:rPr>
                <w:rFonts w:ascii="Calibri" w:eastAsia="Times New Roman" w:hAnsi="Calibri" w:cs="Times New Roman"/>
                <w:color w:val="000000"/>
                <w:lang w:eastAsia="es-ES"/>
              </w:rPr>
              <w:t>D. Manuel Cendagorta-Galarza López</w:t>
            </w:r>
          </w:p>
        </w:tc>
      </w:tr>
    </w:tbl>
    <w:p w:rsidR="00D41F25" w:rsidRDefault="00D41F25" w:rsidP="0074309A">
      <w:pPr>
        <w:jc w:val="both"/>
      </w:pPr>
    </w:p>
    <w:p w:rsidR="00D41F25" w:rsidRDefault="00D41F25" w:rsidP="0074309A">
      <w:pPr>
        <w:jc w:val="both"/>
      </w:pPr>
    </w:p>
    <w:p w:rsidR="00D41F25" w:rsidRDefault="00D41F25" w:rsidP="0074309A">
      <w:pPr>
        <w:jc w:val="both"/>
      </w:pPr>
    </w:p>
    <w:p w:rsidR="00EC3DD7" w:rsidRDefault="00EC3DD7"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D41F25" w:rsidRDefault="00D41F25" w:rsidP="0074309A">
      <w:pPr>
        <w:jc w:val="both"/>
      </w:pPr>
    </w:p>
    <w:p w:rsidR="008E0DF5" w:rsidRDefault="008E0DF5" w:rsidP="0074309A">
      <w:pPr>
        <w:jc w:val="both"/>
      </w:pPr>
    </w:p>
    <w:p w:rsidR="008E0DF5" w:rsidRDefault="008E0DF5" w:rsidP="0074309A">
      <w:pPr>
        <w:jc w:val="both"/>
      </w:pPr>
    </w:p>
    <w:p w:rsidR="00B0123B" w:rsidRDefault="00B0123B" w:rsidP="0074309A">
      <w:pPr>
        <w:jc w:val="both"/>
      </w:pPr>
    </w:p>
    <w:p w:rsidR="00B0123B" w:rsidRDefault="00B0123B" w:rsidP="0074309A">
      <w:pPr>
        <w:jc w:val="both"/>
      </w:pPr>
    </w:p>
    <w:p w:rsidR="002A3B07" w:rsidRDefault="002A3B07" w:rsidP="002A3B07">
      <w:pPr>
        <w:jc w:val="center"/>
        <w:rPr>
          <w:b/>
          <w:sz w:val="28"/>
        </w:rPr>
      </w:pPr>
      <w:r>
        <w:rPr>
          <w:b/>
          <w:sz w:val="28"/>
        </w:rPr>
        <w:t>Instituto Volcanológico de Canarias, S.A.U.</w:t>
      </w:r>
    </w:p>
    <w:p w:rsidR="00C8711E" w:rsidRDefault="00C8711E" w:rsidP="0074309A">
      <w:pPr>
        <w:jc w:val="both"/>
      </w:pPr>
    </w:p>
    <w:tbl>
      <w:tblPr>
        <w:tblW w:w="8200" w:type="dxa"/>
        <w:tblInd w:w="58" w:type="dxa"/>
        <w:tblCellMar>
          <w:left w:w="70" w:type="dxa"/>
          <w:right w:w="70" w:type="dxa"/>
        </w:tblCellMar>
        <w:tblLook w:val="04A0"/>
      </w:tblPr>
      <w:tblGrid>
        <w:gridCol w:w="5320"/>
        <w:gridCol w:w="640"/>
        <w:gridCol w:w="1200"/>
        <w:gridCol w:w="1040"/>
      </w:tblGrid>
      <w:tr w:rsidR="00ED31FE" w:rsidRPr="00ED31FE" w:rsidTr="00ED31FE">
        <w:trPr>
          <w:trHeight w:val="570"/>
        </w:trPr>
        <w:tc>
          <w:tcPr>
            <w:tcW w:w="532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 xml:space="preserve">ACTIVO </w:t>
            </w:r>
          </w:p>
        </w:tc>
        <w:tc>
          <w:tcPr>
            <w:tcW w:w="64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 xml:space="preserve">Nota </w:t>
            </w:r>
          </w:p>
        </w:tc>
        <w:tc>
          <w:tcPr>
            <w:tcW w:w="120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2.017</w:t>
            </w:r>
          </w:p>
        </w:tc>
        <w:tc>
          <w:tcPr>
            <w:tcW w:w="104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2.016</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center"/>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A) ACTIVO NO CORRIENTE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606.497,81</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221.682,74</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 Inmovilizado intangible </w:t>
            </w:r>
          </w:p>
        </w:tc>
        <w:tc>
          <w:tcPr>
            <w:tcW w:w="640" w:type="dxa"/>
            <w:tcBorders>
              <w:top w:val="nil"/>
              <w:left w:val="nil"/>
              <w:bottom w:val="nil"/>
              <w:right w:val="nil"/>
            </w:tcBorders>
            <w:shd w:val="clear" w:color="auto" w:fill="auto"/>
            <w:noWrap/>
            <w:vAlign w:val="bottom"/>
            <w:hideMark/>
          </w:tcPr>
          <w:p w:rsidR="00ED31FE" w:rsidRPr="00ED31FE" w:rsidRDefault="00E17967" w:rsidP="00E17967">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4</w:t>
            </w:r>
            <w:r w:rsidR="00ED31FE"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8.189,46</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 Inmovilizado material </w:t>
            </w:r>
          </w:p>
        </w:tc>
        <w:tc>
          <w:tcPr>
            <w:tcW w:w="640" w:type="dxa"/>
            <w:tcBorders>
              <w:top w:val="nil"/>
              <w:left w:val="nil"/>
              <w:bottom w:val="nil"/>
              <w:right w:val="nil"/>
            </w:tcBorders>
            <w:shd w:val="clear" w:color="auto" w:fill="auto"/>
            <w:noWrap/>
            <w:vAlign w:val="bottom"/>
            <w:hideMark/>
          </w:tcPr>
          <w:p w:rsidR="00ED31FE" w:rsidRPr="00ED31FE" w:rsidRDefault="00E17967" w:rsidP="00E17967">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4</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598.308,35</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221.319,73</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III. Inversiones inmobiliarias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IV. Inversiones en empresas del grupo y asociadas a L.P.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 Inversiones financieras a largo plazo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 Activos por impuesto diferido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363,01</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VII. Deudores comerciales no corrientes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165"/>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B) ACTIVO CORRIENTE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1.227.911,15</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419.471,25</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 Activos no corrientes mantenidos para la venta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 Existencias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III. Deudores comerciales y otras cuentas a cobrar </w:t>
            </w:r>
          </w:p>
        </w:tc>
        <w:tc>
          <w:tcPr>
            <w:tcW w:w="640" w:type="dxa"/>
            <w:tcBorders>
              <w:top w:val="nil"/>
              <w:left w:val="nil"/>
              <w:bottom w:val="nil"/>
              <w:right w:val="nil"/>
            </w:tcBorders>
            <w:shd w:val="clear" w:color="auto" w:fill="auto"/>
            <w:noWrap/>
            <w:vAlign w:val="bottom"/>
            <w:hideMark/>
          </w:tcPr>
          <w:p w:rsidR="00ED31FE" w:rsidRPr="00ED31FE" w:rsidRDefault="00E17967" w:rsidP="00E17967">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5</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225.617,94</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215.730,21</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 Clientes por ventas y prestaciones de servicios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136.130,79</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110.170,16</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a) Clientes por ventas y prestaciones de servicios a L.P.</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b) Clientes por ventas y prestaciones de servicios a C.P.</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136.130,79</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110.170,16</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2. Accionistas (socios) por desembolsos exigidos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3. Otros deudores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89.487,15</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105.560,05</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IV. Inversiones en empresas del grupo y asociadas a C.P.</w:t>
            </w:r>
          </w:p>
        </w:tc>
        <w:tc>
          <w:tcPr>
            <w:tcW w:w="640" w:type="dxa"/>
            <w:tcBorders>
              <w:top w:val="nil"/>
              <w:left w:val="nil"/>
              <w:bottom w:val="nil"/>
              <w:right w:val="nil"/>
            </w:tcBorders>
            <w:shd w:val="clear" w:color="auto" w:fill="auto"/>
            <w:noWrap/>
            <w:vAlign w:val="bottom"/>
            <w:hideMark/>
          </w:tcPr>
          <w:p w:rsidR="00ED31FE" w:rsidRPr="00ED31FE" w:rsidRDefault="00E17967" w:rsidP="00E17967">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9</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106.601,35</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8.724,16</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 Inversiones financieras a corto plazo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 </w:t>
            </w:r>
            <w:proofErr w:type="spellStart"/>
            <w:r w:rsidRPr="00ED31FE">
              <w:rPr>
                <w:rFonts w:ascii="Calibri" w:eastAsia="Times New Roman" w:hAnsi="Calibri" w:cs="Calibri"/>
                <w:color w:val="000000"/>
                <w:sz w:val="18"/>
                <w:szCs w:val="18"/>
                <w:lang w:eastAsia="es-ES"/>
              </w:rPr>
              <w:t>Periodificaciones</w:t>
            </w:r>
            <w:proofErr w:type="spellEnd"/>
            <w:r w:rsidRPr="00ED31FE">
              <w:rPr>
                <w:rFonts w:ascii="Calibri" w:eastAsia="Times New Roman" w:hAnsi="Calibri" w:cs="Calibri"/>
                <w:color w:val="000000"/>
                <w:sz w:val="18"/>
                <w:szCs w:val="18"/>
                <w:lang w:eastAsia="es-ES"/>
              </w:rPr>
              <w:t xml:space="preserve"> a corto plazo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VII. Efectivo y otros activos líquidos equivalentes </w:t>
            </w:r>
          </w:p>
        </w:tc>
        <w:tc>
          <w:tcPr>
            <w:tcW w:w="640" w:type="dxa"/>
            <w:tcBorders>
              <w:top w:val="nil"/>
              <w:left w:val="nil"/>
              <w:bottom w:val="nil"/>
              <w:right w:val="nil"/>
            </w:tcBorders>
            <w:shd w:val="clear" w:color="auto" w:fill="auto"/>
            <w:noWrap/>
            <w:vAlign w:val="bottom"/>
            <w:hideMark/>
          </w:tcPr>
          <w:p w:rsidR="00ED31FE" w:rsidRPr="00ED31FE" w:rsidRDefault="00ED31FE" w:rsidP="00E17967">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895.691,86</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195.016,88</w:t>
            </w:r>
          </w:p>
        </w:tc>
      </w:tr>
      <w:tr w:rsidR="00ED31FE" w:rsidRPr="00ED31FE" w:rsidTr="00ED31FE">
        <w:trPr>
          <w:trHeight w:val="12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center"/>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000000" w:fill="BFBFBF"/>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TOTAL ACTIVO (A+B) </w:t>
            </w:r>
          </w:p>
        </w:tc>
        <w:tc>
          <w:tcPr>
            <w:tcW w:w="64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1.834.408,96</w:t>
            </w:r>
          </w:p>
        </w:tc>
        <w:tc>
          <w:tcPr>
            <w:tcW w:w="104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641.153,99</w:t>
            </w:r>
          </w:p>
        </w:tc>
      </w:tr>
    </w:tbl>
    <w:p w:rsidR="006468C1" w:rsidRDefault="006468C1"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ED31FE">
      <w:pPr>
        <w:jc w:val="both"/>
        <w:rPr>
          <w:b/>
          <w:bCs/>
          <w:sz w:val="24"/>
        </w:rPr>
      </w:pPr>
    </w:p>
    <w:p w:rsidR="00ED31FE" w:rsidRDefault="00ED31FE" w:rsidP="00ED31FE">
      <w:pPr>
        <w:jc w:val="center"/>
        <w:rPr>
          <w:b/>
          <w:bCs/>
          <w:sz w:val="24"/>
        </w:rPr>
      </w:pPr>
      <w:r>
        <w:rPr>
          <w:b/>
          <w:bCs/>
          <w:sz w:val="24"/>
        </w:rPr>
        <w:lastRenderedPageBreak/>
        <w:t>Instituto Volcanológico de Canarias, S.A.U.</w:t>
      </w:r>
    </w:p>
    <w:p w:rsidR="006468C1" w:rsidRDefault="006468C1" w:rsidP="0074309A">
      <w:pPr>
        <w:jc w:val="both"/>
      </w:pPr>
    </w:p>
    <w:tbl>
      <w:tblPr>
        <w:tblW w:w="8200" w:type="dxa"/>
        <w:tblInd w:w="58" w:type="dxa"/>
        <w:tblCellMar>
          <w:left w:w="70" w:type="dxa"/>
          <w:right w:w="70" w:type="dxa"/>
        </w:tblCellMar>
        <w:tblLook w:val="04A0"/>
      </w:tblPr>
      <w:tblGrid>
        <w:gridCol w:w="5320"/>
        <w:gridCol w:w="640"/>
        <w:gridCol w:w="1200"/>
        <w:gridCol w:w="1040"/>
      </w:tblGrid>
      <w:tr w:rsidR="00ED31FE" w:rsidRPr="00ED31FE" w:rsidTr="00ED31FE">
        <w:trPr>
          <w:trHeight w:val="315"/>
        </w:trPr>
        <w:tc>
          <w:tcPr>
            <w:tcW w:w="532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 xml:space="preserve">PASIVO </w:t>
            </w:r>
          </w:p>
        </w:tc>
        <w:tc>
          <w:tcPr>
            <w:tcW w:w="64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 xml:space="preserve">Nota </w:t>
            </w:r>
          </w:p>
        </w:tc>
        <w:tc>
          <w:tcPr>
            <w:tcW w:w="120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2.017</w:t>
            </w:r>
          </w:p>
        </w:tc>
        <w:tc>
          <w:tcPr>
            <w:tcW w:w="1040" w:type="dxa"/>
            <w:tcBorders>
              <w:top w:val="nil"/>
              <w:left w:val="nil"/>
              <w:bottom w:val="single" w:sz="8" w:space="0" w:color="auto"/>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2.016</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center"/>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A) PATRIMONIO NETO </w:t>
            </w:r>
          </w:p>
        </w:tc>
        <w:tc>
          <w:tcPr>
            <w:tcW w:w="6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672.851,53</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233.280,67</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A-1) Fondos propios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r w:rsidR="00A22D9C">
              <w:rPr>
                <w:rFonts w:ascii="Calibri" w:eastAsia="Times New Roman" w:hAnsi="Calibri" w:cs="Calibri"/>
                <w:color w:val="000000"/>
                <w:sz w:val="18"/>
                <w:szCs w:val="18"/>
                <w:lang w:eastAsia="es-ES"/>
              </w:rPr>
              <w:t>7</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190.035,04</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67.392,00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 Capital Escriturado</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60.200,00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60.200,00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 Capital Escriturado</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60.200,00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60.200,00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2. (Capital no exigido)</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 Prima de emisión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III. Reservas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14.802,00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19.417,07</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 Reserva de capitalización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2. Otras reservas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 Resultados de ejercicios anteriores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-14.610,00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-14.610,00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 Otras aportaciones de socios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VII. Resultado del ejercicio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129.643,04</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2.384,93</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VIII. (Dividendo a cuenta)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IX. Otros instrumentos de patrimonio neto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A-2) Ajustes por cambios de valor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A-3) Subvenciones, donaciones y legados recibidos </w:t>
            </w:r>
          </w:p>
        </w:tc>
        <w:tc>
          <w:tcPr>
            <w:tcW w:w="640" w:type="dxa"/>
            <w:tcBorders>
              <w:top w:val="nil"/>
              <w:left w:val="nil"/>
              <w:bottom w:val="nil"/>
              <w:right w:val="nil"/>
            </w:tcBorders>
            <w:shd w:val="clear" w:color="auto" w:fill="auto"/>
            <w:noWrap/>
            <w:vAlign w:val="bottom"/>
            <w:hideMark/>
          </w:tcPr>
          <w:p w:rsidR="00ED31FE" w:rsidRPr="00ED31FE" w:rsidRDefault="00A22D9C" w:rsidP="00A22D9C">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4; 10</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482.816,49</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165.888,67</w:t>
            </w:r>
          </w:p>
        </w:tc>
      </w:tr>
      <w:tr w:rsidR="00ED31FE" w:rsidRPr="00ED31FE" w:rsidTr="00ED31FE">
        <w:trPr>
          <w:trHeight w:val="195"/>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B) PASIVO NO CORRIENTE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160.938,81</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55.296,22</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 Provisiones a largo plazo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 Deudas a largo plazo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III. Deudas con empresas del grupo y asociadas a largo plazo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IV. Pasivos por impuesto diferido </w:t>
            </w:r>
          </w:p>
        </w:tc>
        <w:tc>
          <w:tcPr>
            <w:tcW w:w="640" w:type="dxa"/>
            <w:tcBorders>
              <w:top w:val="nil"/>
              <w:left w:val="nil"/>
              <w:bottom w:val="nil"/>
              <w:right w:val="nil"/>
            </w:tcBorders>
            <w:shd w:val="clear" w:color="auto" w:fill="auto"/>
            <w:noWrap/>
            <w:vAlign w:val="bottom"/>
            <w:hideMark/>
          </w:tcPr>
          <w:p w:rsidR="00ED31FE" w:rsidRPr="00ED31FE" w:rsidRDefault="00A22D9C" w:rsidP="00A22D9C">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10</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160.938,81</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55.296,22</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 </w:t>
            </w:r>
            <w:proofErr w:type="spellStart"/>
            <w:r w:rsidRPr="00ED31FE">
              <w:rPr>
                <w:rFonts w:ascii="Calibri" w:eastAsia="Times New Roman" w:hAnsi="Calibri" w:cs="Calibri"/>
                <w:color w:val="000000"/>
                <w:sz w:val="18"/>
                <w:szCs w:val="18"/>
                <w:lang w:eastAsia="es-ES"/>
              </w:rPr>
              <w:t>Periodificaciones</w:t>
            </w:r>
            <w:proofErr w:type="spellEnd"/>
            <w:r w:rsidRPr="00ED31FE">
              <w:rPr>
                <w:rFonts w:ascii="Calibri" w:eastAsia="Times New Roman" w:hAnsi="Calibri" w:cs="Calibri"/>
                <w:color w:val="000000"/>
                <w:sz w:val="18"/>
                <w:szCs w:val="18"/>
                <w:lang w:eastAsia="es-ES"/>
              </w:rPr>
              <w:t xml:space="preserve"> a largo plazo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 Acreedores comerciales no corrientes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VII. Deuda con características especiales a largo plazo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21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C) PASIVO CORRIENTE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1.000.618,62</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352.577,10</w:t>
            </w:r>
          </w:p>
        </w:tc>
      </w:tr>
      <w:tr w:rsidR="00ED31FE" w:rsidRPr="00ED31FE" w:rsidTr="00ED31FE">
        <w:trPr>
          <w:trHeight w:val="495"/>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 Pasivos vinculados con activos no </w:t>
            </w:r>
            <w:proofErr w:type="spellStart"/>
            <w:r w:rsidRPr="00ED31FE">
              <w:rPr>
                <w:rFonts w:ascii="Calibri" w:eastAsia="Times New Roman" w:hAnsi="Calibri" w:cs="Calibri"/>
                <w:color w:val="000000"/>
                <w:sz w:val="18"/>
                <w:szCs w:val="18"/>
                <w:lang w:eastAsia="es-ES"/>
              </w:rPr>
              <w:t>c</w:t>
            </w:r>
            <w:r>
              <w:rPr>
                <w:rFonts w:ascii="Calibri" w:eastAsia="Times New Roman" w:hAnsi="Calibri" w:cs="Calibri"/>
                <w:color w:val="000000"/>
                <w:sz w:val="18"/>
                <w:szCs w:val="18"/>
                <w:lang w:eastAsia="es-ES"/>
              </w:rPr>
              <w:t>t</w:t>
            </w:r>
            <w:r w:rsidRPr="00ED31FE">
              <w:rPr>
                <w:rFonts w:ascii="Calibri" w:eastAsia="Times New Roman" w:hAnsi="Calibri" w:cs="Calibri"/>
                <w:color w:val="000000"/>
                <w:sz w:val="18"/>
                <w:szCs w:val="18"/>
                <w:lang w:eastAsia="es-ES"/>
              </w:rPr>
              <w:t>es</w:t>
            </w:r>
            <w:proofErr w:type="spellEnd"/>
            <w:r w:rsidR="00511832">
              <w:rPr>
                <w:rFonts w:ascii="Calibri" w:eastAsia="Times New Roman" w:hAnsi="Calibri" w:cs="Calibri"/>
                <w:color w:val="000000"/>
                <w:sz w:val="18"/>
                <w:szCs w:val="18"/>
                <w:lang w:eastAsia="es-ES"/>
              </w:rPr>
              <w:t>.</w:t>
            </w:r>
            <w:r w:rsidRPr="00ED31FE">
              <w:rPr>
                <w:rFonts w:ascii="Calibri" w:eastAsia="Times New Roman" w:hAnsi="Calibri" w:cs="Calibri"/>
                <w:color w:val="000000"/>
                <w:sz w:val="18"/>
                <w:szCs w:val="18"/>
                <w:lang w:eastAsia="es-ES"/>
              </w:rPr>
              <w:t xml:space="preserve"> mantenidos para la venta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 Provisiones a corto plazo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III. Deudas a corto plazo </w:t>
            </w:r>
          </w:p>
        </w:tc>
        <w:tc>
          <w:tcPr>
            <w:tcW w:w="640" w:type="dxa"/>
            <w:tcBorders>
              <w:top w:val="nil"/>
              <w:left w:val="nil"/>
              <w:bottom w:val="nil"/>
              <w:right w:val="nil"/>
            </w:tcBorders>
            <w:shd w:val="clear" w:color="auto" w:fill="auto"/>
            <w:noWrap/>
            <w:vAlign w:val="bottom"/>
            <w:hideMark/>
          </w:tcPr>
          <w:p w:rsidR="00ED31FE" w:rsidRPr="00ED31FE" w:rsidRDefault="005E7A89" w:rsidP="00A22D9C">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9</w:t>
            </w:r>
            <w:r w:rsidR="00ED31FE"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363,02</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105.916,14</w:t>
            </w:r>
          </w:p>
        </w:tc>
      </w:tr>
      <w:tr w:rsidR="00ED31FE" w:rsidRPr="00ED31FE" w:rsidTr="00ED31FE">
        <w:trPr>
          <w:trHeight w:val="27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IV. Deudas con empresas del grupo y asociadas a corto plazo </w:t>
            </w:r>
          </w:p>
        </w:tc>
        <w:tc>
          <w:tcPr>
            <w:tcW w:w="640" w:type="dxa"/>
            <w:tcBorders>
              <w:top w:val="nil"/>
              <w:left w:val="nil"/>
              <w:bottom w:val="nil"/>
              <w:right w:val="nil"/>
            </w:tcBorders>
            <w:shd w:val="clear" w:color="auto" w:fill="auto"/>
            <w:noWrap/>
            <w:vAlign w:val="bottom"/>
            <w:hideMark/>
          </w:tcPr>
          <w:p w:rsidR="00ED31FE" w:rsidRPr="00ED31FE" w:rsidRDefault="005E7A89" w:rsidP="00A22D9C">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9</w:t>
            </w:r>
            <w:r w:rsidR="00ED31FE"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5.178,12</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4.573,91</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 Acreedores comerciales y otras cuentas a pagar </w:t>
            </w:r>
          </w:p>
        </w:tc>
        <w:tc>
          <w:tcPr>
            <w:tcW w:w="640" w:type="dxa"/>
            <w:tcBorders>
              <w:top w:val="nil"/>
              <w:left w:val="nil"/>
              <w:bottom w:val="nil"/>
              <w:right w:val="nil"/>
            </w:tcBorders>
            <w:shd w:val="clear" w:color="auto" w:fill="auto"/>
            <w:noWrap/>
            <w:vAlign w:val="bottom"/>
            <w:hideMark/>
          </w:tcPr>
          <w:p w:rsidR="00ED31FE" w:rsidRPr="00ED31FE" w:rsidRDefault="005E7A89" w:rsidP="00A22D9C">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6</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403.966,30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242.087,05</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 Proveedores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2. Otros acreedores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403.966,30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242.087,05</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 </w:t>
            </w:r>
            <w:proofErr w:type="spellStart"/>
            <w:r w:rsidRPr="00ED31FE">
              <w:rPr>
                <w:rFonts w:ascii="Calibri" w:eastAsia="Times New Roman" w:hAnsi="Calibri" w:cs="Calibri"/>
                <w:color w:val="000000"/>
                <w:sz w:val="18"/>
                <w:szCs w:val="18"/>
                <w:lang w:eastAsia="es-ES"/>
              </w:rPr>
              <w:t>Periodificaciones</w:t>
            </w:r>
            <w:proofErr w:type="spellEnd"/>
            <w:r w:rsidRPr="00ED31FE">
              <w:rPr>
                <w:rFonts w:ascii="Calibri" w:eastAsia="Times New Roman" w:hAnsi="Calibri" w:cs="Calibri"/>
                <w:color w:val="000000"/>
                <w:sz w:val="18"/>
                <w:szCs w:val="18"/>
                <w:lang w:eastAsia="es-ES"/>
              </w:rPr>
              <w:t xml:space="preserve"> a corto plazo </w:t>
            </w:r>
          </w:p>
        </w:tc>
        <w:tc>
          <w:tcPr>
            <w:tcW w:w="640" w:type="dxa"/>
            <w:tcBorders>
              <w:top w:val="nil"/>
              <w:left w:val="nil"/>
              <w:bottom w:val="nil"/>
              <w:right w:val="nil"/>
            </w:tcBorders>
            <w:shd w:val="clear" w:color="auto" w:fill="auto"/>
            <w:noWrap/>
            <w:vAlign w:val="bottom"/>
            <w:hideMark/>
          </w:tcPr>
          <w:p w:rsidR="00ED31FE" w:rsidRPr="00ED31FE" w:rsidRDefault="00821288" w:rsidP="00A22D9C">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10</w:t>
            </w:r>
            <w:r w:rsidR="00ED31FE"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591.111,18</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VII. Deuda con características especiales a corto plazo </w:t>
            </w: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18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A22D9C">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104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000000" w:fill="BFBFBF"/>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TOTAL PATRIMONIO NETO Y PASIVO (A+B+C) </w:t>
            </w:r>
          </w:p>
        </w:tc>
        <w:tc>
          <w:tcPr>
            <w:tcW w:w="64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1.834.408,96</w:t>
            </w:r>
          </w:p>
        </w:tc>
        <w:tc>
          <w:tcPr>
            <w:tcW w:w="104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641.153,99</w:t>
            </w:r>
          </w:p>
        </w:tc>
      </w:tr>
    </w:tbl>
    <w:p w:rsidR="00ED31FE" w:rsidRDefault="00ED31FE" w:rsidP="0074309A">
      <w:pPr>
        <w:jc w:val="both"/>
      </w:pPr>
    </w:p>
    <w:p w:rsidR="00ED31FE" w:rsidRDefault="00ED31FE" w:rsidP="0074309A">
      <w:pPr>
        <w:jc w:val="both"/>
      </w:pPr>
    </w:p>
    <w:p w:rsidR="00ED31FE" w:rsidRDefault="00ED31FE" w:rsidP="00ED31FE">
      <w:pPr>
        <w:jc w:val="center"/>
        <w:rPr>
          <w:b/>
          <w:bCs/>
          <w:sz w:val="24"/>
        </w:rPr>
      </w:pPr>
      <w:r>
        <w:rPr>
          <w:b/>
          <w:bCs/>
          <w:sz w:val="24"/>
        </w:rPr>
        <w:lastRenderedPageBreak/>
        <w:t>Instituto Volcanológico de Canarias, S.A.U.</w:t>
      </w:r>
    </w:p>
    <w:p w:rsidR="00ED31FE" w:rsidRDefault="00ED31FE" w:rsidP="0074309A">
      <w:pPr>
        <w:jc w:val="both"/>
      </w:pPr>
    </w:p>
    <w:tbl>
      <w:tblPr>
        <w:tblW w:w="8140" w:type="dxa"/>
        <w:tblInd w:w="58" w:type="dxa"/>
        <w:tblCellMar>
          <w:left w:w="70" w:type="dxa"/>
          <w:right w:w="70" w:type="dxa"/>
        </w:tblCellMar>
        <w:tblLook w:val="04A0"/>
      </w:tblPr>
      <w:tblGrid>
        <w:gridCol w:w="5320"/>
        <w:gridCol w:w="640"/>
        <w:gridCol w:w="1200"/>
        <w:gridCol w:w="980"/>
      </w:tblGrid>
      <w:tr w:rsidR="00ED31FE" w:rsidRPr="00ED31FE" w:rsidTr="00ED31FE">
        <w:trPr>
          <w:trHeight w:val="570"/>
        </w:trPr>
        <w:tc>
          <w:tcPr>
            <w:tcW w:w="5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31FE" w:rsidRPr="00ED31FE" w:rsidRDefault="00ED31FE" w:rsidP="00ED31FE">
            <w:pPr>
              <w:spacing w:after="0" w:line="240" w:lineRule="auto"/>
              <w:rPr>
                <w:rFonts w:ascii="Calibri" w:eastAsia="Times New Roman" w:hAnsi="Calibri" w:cs="Calibri"/>
                <w:b/>
                <w:bCs/>
                <w:color w:val="000000"/>
                <w:lang w:eastAsia="es-ES"/>
              </w:rPr>
            </w:pPr>
            <w:r w:rsidRPr="00ED31FE">
              <w:rPr>
                <w:rFonts w:ascii="Calibri" w:eastAsia="Times New Roman" w:hAnsi="Calibri" w:cs="Calibri"/>
                <w:b/>
                <w:bCs/>
                <w:color w:val="000000"/>
                <w:lang w:eastAsia="es-ES"/>
              </w:rPr>
              <w:t>Pérdidas y Ganancias</w:t>
            </w:r>
          </w:p>
        </w:tc>
        <w:tc>
          <w:tcPr>
            <w:tcW w:w="640" w:type="dxa"/>
            <w:tcBorders>
              <w:top w:val="single" w:sz="4" w:space="0" w:color="auto"/>
              <w:left w:val="nil"/>
              <w:bottom w:val="single" w:sz="4" w:space="0" w:color="auto"/>
              <w:right w:val="single" w:sz="4" w:space="0" w:color="auto"/>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 xml:space="preserve">Nota </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2.017</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ED31FE" w:rsidRPr="00ED31FE" w:rsidRDefault="00ED31FE" w:rsidP="00ED31FE">
            <w:pPr>
              <w:spacing w:after="0" w:line="240" w:lineRule="auto"/>
              <w:jc w:val="center"/>
              <w:rPr>
                <w:rFonts w:ascii="Calibri" w:eastAsia="Times New Roman" w:hAnsi="Calibri" w:cs="Calibri"/>
                <w:b/>
                <w:bCs/>
                <w:color w:val="000000"/>
                <w:sz w:val="20"/>
                <w:szCs w:val="20"/>
                <w:lang w:eastAsia="es-ES"/>
              </w:rPr>
            </w:pPr>
            <w:r w:rsidRPr="00ED31FE">
              <w:rPr>
                <w:rFonts w:ascii="Calibri" w:eastAsia="Times New Roman" w:hAnsi="Calibri" w:cs="Calibri"/>
                <w:b/>
                <w:bCs/>
                <w:color w:val="000000"/>
                <w:sz w:val="20"/>
                <w:szCs w:val="20"/>
                <w:lang w:eastAsia="es-ES"/>
              </w:rPr>
              <w:t>2.016</w:t>
            </w:r>
          </w:p>
        </w:tc>
      </w:tr>
      <w:tr w:rsidR="00ED31FE" w:rsidRPr="00ED31FE" w:rsidTr="00ED31FE">
        <w:trPr>
          <w:trHeight w:val="405"/>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 Importe neto de la cifra de negocios</w:t>
            </w:r>
          </w:p>
        </w:tc>
        <w:tc>
          <w:tcPr>
            <w:tcW w:w="640" w:type="dxa"/>
            <w:tcBorders>
              <w:top w:val="nil"/>
              <w:left w:val="nil"/>
              <w:bottom w:val="nil"/>
              <w:right w:val="nil"/>
            </w:tcBorders>
            <w:shd w:val="clear" w:color="auto" w:fill="auto"/>
            <w:noWrap/>
            <w:vAlign w:val="bottom"/>
            <w:hideMark/>
          </w:tcPr>
          <w:p w:rsidR="00ED31FE" w:rsidRPr="00ED31FE" w:rsidRDefault="00BA56AF" w:rsidP="00BA56AF">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10</w:t>
            </w:r>
            <w:r w:rsidR="00ED31FE"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71.777,00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11.435,27</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2. Variación de existencias de </w:t>
            </w:r>
            <w:proofErr w:type="spellStart"/>
            <w:r w:rsidRPr="00ED31FE">
              <w:rPr>
                <w:rFonts w:ascii="Calibri" w:eastAsia="Times New Roman" w:hAnsi="Calibri" w:cs="Calibri"/>
                <w:color w:val="000000"/>
                <w:sz w:val="18"/>
                <w:szCs w:val="18"/>
                <w:lang w:eastAsia="es-ES"/>
              </w:rPr>
              <w:t>pdtos</w:t>
            </w:r>
            <w:proofErr w:type="spellEnd"/>
            <w:r>
              <w:rPr>
                <w:rFonts w:ascii="Calibri" w:eastAsia="Times New Roman" w:hAnsi="Calibri" w:cs="Calibri"/>
                <w:color w:val="000000"/>
                <w:sz w:val="18"/>
                <w:szCs w:val="18"/>
                <w:lang w:eastAsia="es-ES"/>
              </w:rPr>
              <w:t>.</w:t>
            </w:r>
            <w:r w:rsidRPr="00ED31FE">
              <w:rPr>
                <w:rFonts w:ascii="Calibri" w:eastAsia="Times New Roman" w:hAnsi="Calibri" w:cs="Calibri"/>
                <w:color w:val="000000"/>
                <w:sz w:val="18"/>
                <w:szCs w:val="18"/>
                <w:lang w:eastAsia="es-ES"/>
              </w:rPr>
              <w:t xml:space="preserve"> terminados y en curso</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3. Trabajos realizados por la empresa para su activo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4. Aprovisionamientos </w:t>
            </w:r>
          </w:p>
        </w:tc>
        <w:tc>
          <w:tcPr>
            <w:tcW w:w="640" w:type="dxa"/>
            <w:tcBorders>
              <w:top w:val="nil"/>
              <w:left w:val="nil"/>
              <w:bottom w:val="nil"/>
              <w:right w:val="nil"/>
            </w:tcBorders>
            <w:shd w:val="clear" w:color="auto" w:fill="auto"/>
            <w:noWrap/>
            <w:vAlign w:val="bottom"/>
            <w:hideMark/>
          </w:tcPr>
          <w:p w:rsidR="00ED31FE" w:rsidRPr="00ED31FE" w:rsidRDefault="00BA56AF" w:rsidP="00BA56AF">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9</w:t>
            </w:r>
            <w:r w:rsidR="00ED31FE"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-50.860,00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-80.000,00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5. Otros ingresos de explotación </w:t>
            </w:r>
          </w:p>
        </w:tc>
        <w:tc>
          <w:tcPr>
            <w:tcW w:w="640" w:type="dxa"/>
            <w:tcBorders>
              <w:top w:val="nil"/>
              <w:left w:val="nil"/>
              <w:bottom w:val="nil"/>
              <w:right w:val="nil"/>
            </w:tcBorders>
            <w:shd w:val="clear" w:color="auto" w:fill="auto"/>
            <w:noWrap/>
            <w:vAlign w:val="bottom"/>
            <w:hideMark/>
          </w:tcPr>
          <w:p w:rsidR="00ED31FE" w:rsidRPr="00ED31FE" w:rsidRDefault="00BA56AF" w:rsidP="00BA56AF">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10</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536.743,97</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282.212,17</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6. Gastos de personal </w:t>
            </w:r>
          </w:p>
        </w:tc>
        <w:tc>
          <w:tcPr>
            <w:tcW w:w="640" w:type="dxa"/>
            <w:tcBorders>
              <w:top w:val="nil"/>
              <w:left w:val="nil"/>
              <w:bottom w:val="nil"/>
              <w:right w:val="nil"/>
            </w:tcBorders>
            <w:shd w:val="clear" w:color="auto" w:fill="auto"/>
            <w:noWrap/>
            <w:vAlign w:val="bottom"/>
            <w:hideMark/>
          </w:tcPr>
          <w:p w:rsidR="00ED31FE" w:rsidRPr="00ED31FE" w:rsidRDefault="006A4259" w:rsidP="00BA56AF">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10</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-172.227,42</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-79.213,31</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7. Otros gastos de explotación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-349.875,21</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-130.617,61</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8. Amortización del inmovilizado </w:t>
            </w:r>
          </w:p>
        </w:tc>
        <w:tc>
          <w:tcPr>
            <w:tcW w:w="640" w:type="dxa"/>
            <w:tcBorders>
              <w:top w:val="nil"/>
              <w:left w:val="nil"/>
              <w:bottom w:val="nil"/>
              <w:right w:val="nil"/>
            </w:tcBorders>
            <w:shd w:val="clear" w:color="auto" w:fill="auto"/>
            <w:noWrap/>
            <w:vAlign w:val="bottom"/>
            <w:hideMark/>
          </w:tcPr>
          <w:p w:rsidR="00ED31FE" w:rsidRPr="00ED31FE" w:rsidRDefault="00BA56AF" w:rsidP="00BA56AF">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4</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-43.429,59</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-14.335,87</w:t>
            </w:r>
          </w:p>
        </w:tc>
      </w:tr>
      <w:tr w:rsidR="00ED31FE" w:rsidRPr="00ED31FE" w:rsidTr="00ED31FE">
        <w:trPr>
          <w:trHeight w:val="300"/>
        </w:trPr>
        <w:tc>
          <w:tcPr>
            <w:tcW w:w="5960" w:type="dxa"/>
            <w:gridSpan w:val="2"/>
            <w:tcBorders>
              <w:top w:val="nil"/>
              <w:left w:val="nil"/>
              <w:bottom w:val="nil"/>
              <w:right w:val="nil"/>
            </w:tcBorders>
            <w:shd w:val="clear" w:color="auto" w:fill="auto"/>
            <w:noWrap/>
            <w:vAlign w:val="bottom"/>
            <w:hideMark/>
          </w:tcPr>
          <w:p w:rsidR="00ED31FE" w:rsidRPr="00ED31FE" w:rsidRDefault="00ED31FE" w:rsidP="00BA56AF">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9. Imputación de subvenciones de inmovilizado no financiero </w:t>
            </w:r>
            <w:r w:rsidR="00BA56AF">
              <w:rPr>
                <w:rFonts w:ascii="Calibri" w:eastAsia="Times New Roman" w:hAnsi="Calibri" w:cs="Calibri"/>
                <w:color w:val="000000"/>
                <w:sz w:val="18"/>
                <w:szCs w:val="18"/>
                <w:lang w:eastAsia="es-ES"/>
              </w:rPr>
              <w:t xml:space="preserve">                    4;10</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43.429,59</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14.335,87</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10. Excesos de provisiones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11. Deterioro y resultado por enajenaciones del inmovilizado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12. Diferencia negativa de combinaciones de negocio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13. Otros resultados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-0,62</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000000" w:fill="BFBFBF"/>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A) RESULTADO DE LA EXPLOTACION</w:t>
            </w:r>
          </w:p>
        </w:tc>
        <w:tc>
          <w:tcPr>
            <w:tcW w:w="640" w:type="dxa"/>
            <w:tcBorders>
              <w:top w:val="nil"/>
              <w:left w:val="nil"/>
              <w:bottom w:val="nil"/>
              <w:right w:val="nil"/>
            </w:tcBorders>
            <w:shd w:val="clear" w:color="000000" w:fill="BFBFBF"/>
            <w:noWrap/>
            <w:vAlign w:val="bottom"/>
            <w:hideMark/>
          </w:tcPr>
          <w:p w:rsidR="00ED31FE" w:rsidRPr="00ED31FE" w:rsidRDefault="00ED31FE" w:rsidP="00BA56AF">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w:t>
            </w:r>
          </w:p>
        </w:tc>
        <w:tc>
          <w:tcPr>
            <w:tcW w:w="120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35.557,72</w:t>
            </w:r>
          </w:p>
        </w:tc>
        <w:tc>
          <w:tcPr>
            <w:tcW w:w="98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3.816,52</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14. Ingresos financieros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0,01</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0,01</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a) Imputación de subvenciones de carácter financiero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b) Otros ingresos financieros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0,01</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0,01</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15. Gastos financieros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-1.055,43</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-92,25</w:t>
            </w:r>
          </w:p>
        </w:tc>
      </w:tr>
      <w:tr w:rsidR="00ED31FE" w:rsidRPr="00ED31FE" w:rsidTr="00ED31FE">
        <w:trPr>
          <w:trHeight w:val="300"/>
        </w:trPr>
        <w:tc>
          <w:tcPr>
            <w:tcW w:w="532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16. Variación de valor razonable en instrumentos financieros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17. Diferencias de cambio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-889,23</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-61,90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18. Deterioro y </w:t>
            </w:r>
            <w:proofErr w:type="spellStart"/>
            <w:r w:rsidRPr="00ED31FE">
              <w:rPr>
                <w:rFonts w:ascii="Calibri" w:eastAsia="Times New Roman" w:hAnsi="Calibri" w:cs="Calibri"/>
                <w:color w:val="000000"/>
                <w:sz w:val="18"/>
                <w:szCs w:val="18"/>
                <w:lang w:eastAsia="es-ES"/>
              </w:rPr>
              <w:t>rtado</w:t>
            </w:r>
            <w:proofErr w:type="spellEnd"/>
            <w:r w:rsidRPr="00ED31FE">
              <w:rPr>
                <w:rFonts w:ascii="Calibri" w:eastAsia="Times New Roman" w:hAnsi="Calibri" w:cs="Calibri"/>
                <w:color w:val="000000"/>
                <w:sz w:val="18"/>
                <w:szCs w:val="18"/>
                <w:lang w:eastAsia="es-ES"/>
              </w:rPr>
              <w:t xml:space="preserve"> por enajenaciones de </w:t>
            </w:r>
            <w:proofErr w:type="spellStart"/>
            <w:r w:rsidRPr="00ED31FE">
              <w:rPr>
                <w:rFonts w:ascii="Calibri" w:eastAsia="Times New Roman" w:hAnsi="Calibri" w:cs="Calibri"/>
                <w:color w:val="000000"/>
                <w:sz w:val="18"/>
                <w:szCs w:val="18"/>
                <w:lang w:eastAsia="es-ES"/>
              </w:rPr>
              <w:t>instr</w:t>
            </w:r>
            <w:proofErr w:type="spellEnd"/>
            <w:r w:rsidRPr="00ED31FE">
              <w:rPr>
                <w:rFonts w:ascii="Calibri" w:eastAsia="Times New Roman" w:hAnsi="Calibri" w:cs="Calibri"/>
                <w:color w:val="000000"/>
                <w:sz w:val="18"/>
                <w:szCs w:val="18"/>
                <w:lang w:eastAsia="es-ES"/>
              </w:rPr>
              <w:t xml:space="preserve">. financieros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19. Otros ingresos y gastos de carácter financiero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a) Incorporación al activo de gastos financieros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b) Ingresos financieros derivados de acreedores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c) Resto de ingresos y gastos </w:t>
            </w: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0,00</w:t>
            </w:r>
          </w:p>
        </w:tc>
      </w:tr>
      <w:tr w:rsidR="00ED31FE" w:rsidRPr="00ED31FE" w:rsidTr="00ED31FE">
        <w:trPr>
          <w:trHeight w:val="300"/>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B) RESULTADO FINANCIERO</w:t>
            </w:r>
          </w:p>
        </w:tc>
        <w:tc>
          <w:tcPr>
            <w:tcW w:w="640" w:type="dxa"/>
            <w:tcBorders>
              <w:top w:val="nil"/>
              <w:left w:val="nil"/>
              <w:bottom w:val="nil"/>
              <w:right w:val="nil"/>
            </w:tcBorders>
            <w:shd w:val="clear" w:color="000000" w:fill="BFBFBF"/>
            <w:noWrap/>
            <w:vAlign w:val="bottom"/>
            <w:hideMark/>
          </w:tcPr>
          <w:p w:rsidR="00ED31FE" w:rsidRPr="00ED31FE" w:rsidRDefault="00ED31FE" w:rsidP="00BA56AF">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w:t>
            </w:r>
          </w:p>
        </w:tc>
        <w:tc>
          <w:tcPr>
            <w:tcW w:w="120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-1.944,65</w:t>
            </w:r>
          </w:p>
        </w:tc>
        <w:tc>
          <w:tcPr>
            <w:tcW w:w="98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-154,14</w:t>
            </w:r>
          </w:p>
        </w:tc>
      </w:tr>
      <w:tr w:rsidR="00ED31FE" w:rsidRPr="00ED31FE" w:rsidTr="00ED31FE">
        <w:trPr>
          <w:trHeight w:val="195"/>
        </w:trPr>
        <w:tc>
          <w:tcPr>
            <w:tcW w:w="5320" w:type="dxa"/>
            <w:tcBorders>
              <w:top w:val="nil"/>
              <w:left w:val="nil"/>
              <w:bottom w:val="nil"/>
              <w:right w:val="nil"/>
            </w:tcBorders>
            <w:shd w:val="clear" w:color="auto" w:fill="auto"/>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p>
        </w:tc>
        <w:tc>
          <w:tcPr>
            <w:tcW w:w="640" w:type="dxa"/>
            <w:tcBorders>
              <w:top w:val="nil"/>
              <w:left w:val="nil"/>
              <w:bottom w:val="nil"/>
              <w:right w:val="nil"/>
            </w:tcBorders>
            <w:shd w:val="clear" w:color="auto" w:fill="auto"/>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p>
        </w:tc>
      </w:tr>
      <w:tr w:rsidR="00ED31FE" w:rsidRPr="00ED31FE" w:rsidTr="00ED31FE">
        <w:trPr>
          <w:trHeight w:val="300"/>
        </w:trPr>
        <w:tc>
          <w:tcPr>
            <w:tcW w:w="532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C) RESULTADO ANTES DE IMPUESTOS (A+B) </w:t>
            </w:r>
          </w:p>
        </w:tc>
        <w:tc>
          <w:tcPr>
            <w:tcW w:w="640" w:type="dxa"/>
            <w:tcBorders>
              <w:top w:val="nil"/>
              <w:left w:val="nil"/>
              <w:bottom w:val="nil"/>
              <w:right w:val="nil"/>
            </w:tcBorders>
            <w:shd w:val="clear" w:color="000000" w:fill="BFBFBF"/>
            <w:noWrap/>
            <w:vAlign w:val="bottom"/>
            <w:hideMark/>
          </w:tcPr>
          <w:p w:rsidR="00ED31FE" w:rsidRPr="00ED31FE" w:rsidRDefault="00ED31FE" w:rsidP="00BA56AF">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w:t>
            </w:r>
          </w:p>
        </w:tc>
        <w:tc>
          <w:tcPr>
            <w:tcW w:w="120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33.613,07</w:t>
            </w:r>
          </w:p>
        </w:tc>
        <w:tc>
          <w:tcPr>
            <w:tcW w:w="98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3.662,38</w:t>
            </w:r>
          </w:p>
        </w:tc>
      </w:tr>
      <w:tr w:rsidR="00ED31FE" w:rsidRPr="00ED31FE" w:rsidTr="00ED31FE">
        <w:trPr>
          <w:trHeight w:val="300"/>
        </w:trPr>
        <w:tc>
          <w:tcPr>
            <w:tcW w:w="532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 xml:space="preserve">    20. Impuestos sobre beneficios </w:t>
            </w:r>
          </w:p>
        </w:tc>
        <w:tc>
          <w:tcPr>
            <w:tcW w:w="640" w:type="dxa"/>
            <w:tcBorders>
              <w:top w:val="nil"/>
              <w:left w:val="nil"/>
              <w:bottom w:val="nil"/>
              <w:right w:val="nil"/>
            </w:tcBorders>
            <w:shd w:val="clear" w:color="auto" w:fill="auto"/>
            <w:noWrap/>
            <w:vAlign w:val="bottom"/>
            <w:hideMark/>
          </w:tcPr>
          <w:p w:rsidR="00ED31FE" w:rsidRPr="00ED31FE" w:rsidRDefault="00BA56AF" w:rsidP="00BA56AF">
            <w:pPr>
              <w:spacing w:after="0" w:line="240" w:lineRule="auto"/>
              <w:jc w:val="right"/>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8</w:t>
            </w:r>
            <w:r w:rsidR="00ED31FE" w:rsidRPr="00ED31FE">
              <w:rPr>
                <w:rFonts w:ascii="Calibri" w:eastAsia="Times New Roman" w:hAnsi="Calibri" w:cs="Calibri"/>
                <w:color w:val="000000"/>
                <w:sz w:val="18"/>
                <w:szCs w:val="18"/>
                <w:lang w:eastAsia="es-ES"/>
              </w:rPr>
              <w:t xml:space="preserve"> </w:t>
            </w:r>
          </w:p>
        </w:tc>
        <w:tc>
          <w:tcPr>
            <w:tcW w:w="120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96.029,97</w:t>
            </w:r>
          </w:p>
        </w:tc>
        <w:tc>
          <w:tcPr>
            <w:tcW w:w="980" w:type="dxa"/>
            <w:tcBorders>
              <w:top w:val="nil"/>
              <w:left w:val="nil"/>
              <w:bottom w:val="nil"/>
              <w:right w:val="nil"/>
            </w:tcBorders>
            <w:shd w:val="clear" w:color="auto" w:fill="auto"/>
            <w:noWrap/>
            <w:vAlign w:val="bottom"/>
            <w:hideMark/>
          </w:tcPr>
          <w:p w:rsidR="00ED31FE" w:rsidRPr="00ED31FE" w:rsidRDefault="00ED31FE" w:rsidP="00ED31FE">
            <w:pPr>
              <w:spacing w:after="0" w:line="240" w:lineRule="auto"/>
              <w:jc w:val="right"/>
              <w:rPr>
                <w:rFonts w:ascii="Calibri" w:eastAsia="Times New Roman" w:hAnsi="Calibri" w:cs="Calibri"/>
                <w:color w:val="000000"/>
                <w:sz w:val="18"/>
                <w:szCs w:val="18"/>
                <w:lang w:eastAsia="es-ES"/>
              </w:rPr>
            </w:pPr>
            <w:r w:rsidRPr="00ED31FE">
              <w:rPr>
                <w:rFonts w:ascii="Calibri" w:eastAsia="Times New Roman" w:hAnsi="Calibri" w:cs="Calibri"/>
                <w:color w:val="000000"/>
                <w:sz w:val="18"/>
                <w:szCs w:val="18"/>
                <w:lang w:eastAsia="es-ES"/>
              </w:rPr>
              <w:t>-1.277,45</w:t>
            </w:r>
          </w:p>
        </w:tc>
      </w:tr>
      <w:tr w:rsidR="00ED31FE" w:rsidRPr="00ED31FE" w:rsidTr="00ED31FE">
        <w:trPr>
          <w:trHeight w:val="300"/>
        </w:trPr>
        <w:tc>
          <w:tcPr>
            <w:tcW w:w="532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D) RESULTADO DEL EJERCICIO (C+20) </w:t>
            </w:r>
          </w:p>
        </w:tc>
        <w:tc>
          <w:tcPr>
            <w:tcW w:w="640" w:type="dxa"/>
            <w:tcBorders>
              <w:top w:val="nil"/>
              <w:left w:val="nil"/>
              <w:bottom w:val="nil"/>
              <w:right w:val="nil"/>
            </w:tcBorders>
            <w:shd w:val="clear" w:color="000000" w:fill="BFBFBF"/>
            <w:noWrap/>
            <w:vAlign w:val="bottom"/>
            <w:hideMark/>
          </w:tcPr>
          <w:p w:rsidR="00ED31FE" w:rsidRPr="00ED31FE" w:rsidRDefault="00ED31FE" w:rsidP="00BA56AF">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 xml:space="preserve"> </w:t>
            </w:r>
          </w:p>
        </w:tc>
        <w:tc>
          <w:tcPr>
            <w:tcW w:w="120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129.643,04</w:t>
            </w:r>
          </w:p>
        </w:tc>
        <w:tc>
          <w:tcPr>
            <w:tcW w:w="980" w:type="dxa"/>
            <w:tcBorders>
              <w:top w:val="nil"/>
              <w:left w:val="nil"/>
              <w:bottom w:val="nil"/>
              <w:right w:val="nil"/>
            </w:tcBorders>
            <w:shd w:val="clear" w:color="000000" w:fill="BFBFBF"/>
            <w:noWrap/>
            <w:vAlign w:val="bottom"/>
            <w:hideMark/>
          </w:tcPr>
          <w:p w:rsidR="00ED31FE" w:rsidRPr="00ED31FE" w:rsidRDefault="00ED31FE" w:rsidP="00ED31FE">
            <w:pPr>
              <w:spacing w:after="0" w:line="240" w:lineRule="auto"/>
              <w:jc w:val="right"/>
              <w:rPr>
                <w:rFonts w:ascii="Calibri" w:eastAsia="Times New Roman" w:hAnsi="Calibri" w:cs="Calibri"/>
                <w:b/>
                <w:bCs/>
                <w:color w:val="000000"/>
                <w:sz w:val="18"/>
                <w:szCs w:val="18"/>
                <w:lang w:eastAsia="es-ES"/>
              </w:rPr>
            </w:pPr>
            <w:r w:rsidRPr="00ED31FE">
              <w:rPr>
                <w:rFonts w:ascii="Calibri" w:eastAsia="Times New Roman" w:hAnsi="Calibri" w:cs="Calibri"/>
                <w:b/>
                <w:bCs/>
                <w:color w:val="000000"/>
                <w:sz w:val="18"/>
                <w:szCs w:val="18"/>
                <w:lang w:eastAsia="es-ES"/>
              </w:rPr>
              <w:t>2.384,93</w:t>
            </w:r>
          </w:p>
        </w:tc>
      </w:tr>
    </w:tbl>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ED31FE" w:rsidRDefault="00ED31FE" w:rsidP="0074309A">
      <w:pPr>
        <w:jc w:val="both"/>
      </w:pPr>
    </w:p>
    <w:p w:rsidR="0074309A" w:rsidRDefault="00B0123B" w:rsidP="0074309A">
      <w:pPr>
        <w:jc w:val="both"/>
        <w:rPr>
          <w:b/>
          <w:bCs/>
          <w:sz w:val="24"/>
        </w:rPr>
      </w:pPr>
      <w:r>
        <w:rPr>
          <w:b/>
          <w:bCs/>
          <w:sz w:val="24"/>
        </w:rPr>
        <w:lastRenderedPageBreak/>
        <w:t>Instituto Volcanológico de Canarias, S.A.U.</w:t>
      </w:r>
    </w:p>
    <w:p w:rsidR="0074309A" w:rsidRPr="008E3A86" w:rsidRDefault="0074309A" w:rsidP="0074309A">
      <w:pPr>
        <w:jc w:val="both"/>
        <w:rPr>
          <w:sz w:val="12"/>
        </w:rPr>
      </w:pPr>
    </w:p>
    <w:p w:rsidR="0074309A" w:rsidRPr="008A0E1E" w:rsidRDefault="0074309A" w:rsidP="00B8670C">
      <w:pPr>
        <w:pStyle w:val="Ttulo4"/>
      </w:pPr>
      <w:r w:rsidRPr="008A0E1E">
        <w:t xml:space="preserve">1.- ACTIVIDAD DE LA </w:t>
      </w:r>
      <w:r w:rsidR="00B0123B" w:rsidRPr="008A0E1E">
        <w:t>EMPRESA</w:t>
      </w:r>
      <w:r w:rsidRPr="008A0E1E">
        <w:t xml:space="preserve">. </w:t>
      </w:r>
    </w:p>
    <w:p w:rsidR="00B0123B" w:rsidRPr="00B0123B" w:rsidRDefault="00B0123B" w:rsidP="00B0123B">
      <w:pPr>
        <w:autoSpaceDE w:val="0"/>
        <w:autoSpaceDN w:val="0"/>
        <w:adjustRightInd w:val="0"/>
        <w:spacing w:after="0" w:line="240" w:lineRule="auto"/>
        <w:rPr>
          <w:u w:val="single"/>
        </w:rPr>
      </w:pPr>
      <w:r w:rsidRPr="00B0123B">
        <w:rPr>
          <w:u w:val="single"/>
        </w:rPr>
        <w:t xml:space="preserve">Actividad de la empresa </w:t>
      </w:r>
    </w:p>
    <w:p w:rsidR="00B0123B" w:rsidRPr="00B0123B" w:rsidRDefault="00B0123B" w:rsidP="00B0123B">
      <w:pPr>
        <w:autoSpaceDE w:val="0"/>
        <w:autoSpaceDN w:val="0"/>
        <w:adjustRightInd w:val="0"/>
        <w:spacing w:after="0" w:line="240" w:lineRule="auto"/>
      </w:pPr>
    </w:p>
    <w:p w:rsidR="00B0123B" w:rsidRDefault="00B0123B" w:rsidP="00B0123B">
      <w:pPr>
        <w:autoSpaceDE w:val="0"/>
        <w:autoSpaceDN w:val="0"/>
        <w:adjustRightInd w:val="0"/>
        <w:spacing w:after="0" w:line="276" w:lineRule="auto"/>
        <w:jc w:val="both"/>
      </w:pPr>
      <w:r w:rsidRPr="00B0123B">
        <w:t>El Instituto Volcanológico de Canarias S</w:t>
      </w:r>
      <w:r>
        <w:t>.</w:t>
      </w:r>
      <w:r w:rsidRPr="00B0123B">
        <w:t>A</w:t>
      </w:r>
      <w:r>
        <w:t>.</w:t>
      </w:r>
      <w:r w:rsidRPr="00B0123B">
        <w:t xml:space="preserve">U. con número de CIF A76519925, se constituyó el 29 de Junio de 2010, mediante escritura autorizada por el Notario Don Mario Morales García, inscrita en el Registro Mercantil de Santa Cruz de Tenerife en el tomo 3.149, folio 120, hoja número TF-47.580 inscripción primera. </w:t>
      </w:r>
    </w:p>
    <w:p w:rsidR="00B0123B" w:rsidRPr="00B0123B" w:rsidRDefault="00B0123B" w:rsidP="00B0123B">
      <w:pPr>
        <w:autoSpaceDE w:val="0"/>
        <w:autoSpaceDN w:val="0"/>
        <w:adjustRightInd w:val="0"/>
        <w:spacing w:after="0" w:line="276" w:lineRule="auto"/>
        <w:jc w:val="both"/>
      </w:pPr>
    </w:p>
    <w:p w:rsidR="00B0123B" w:rsidRPr="00B0123B" w:rsidRDefault="00B0123B" w:rsidP="00B0123B">
      <w:pPr>
        <w:autoSpaceDE w:val="0"/>
        <w:autoSpaceDN w:val="0"/>
        <w:adjustRightInd w:val="0"/>
        <w:spacing w:after="0" w:line="276" w:lineRule="auto"/>
        <w:jc w:val="both"/>
      </w:pPr>
      <w:r w:rsidRPr="00B0123B">
        <w:t xml:space="preserve">Su domicilio social se encuentra establecido en el Polígono Industrial de Granadilla, s/n Granadilla de Abona, Tenerife. </w:t>
      </w:r>
    </w:p>
    <w:p w:rsidR="00B0123B" w:rsidRDefault="00B0123B" w:rsidP="00B0123B">
      <w:pPr>
        <w:autoSpaceDE w:val="0"/>
        <w:autoSpaceDN w:val="0"/>
        <w:adjustRightInd w:val="0"/>
        <w:spacing w:after="0" w:line="276" w:lineRule="auto"/>
        <w:jc w:val="both"/>
      </w:pPr>
    </w:p>
    <w:p w:rsidR="00B0123B" w:rsidRPr="00B0123B" w:rsidRDefault="00B0123B" w:rsidP="00B0123B">
      <w:pPr>
        <w:autoSpaceDE w:val="0"/>
        <w:autoSpaceDN w:val="0"/>
        <w:adjustRightInd w:val="0"/>
        <w:spacing w:after="0" w:line="276" w:lineRule="auto"/>
        <w:jc w:val="both"/>
      </w:pPr>
      <w:r w:rsidRPr="00B0123B">
        <w:t xml:space="preserve">La Entidad es Sociedad dominada del Grupo ITER. </w:t>
      </w:r>
    </w:p>
    <w:p w:rsidR="00B0123B" w:rsidRDefault="00B0123B" w:rsidP="00B0123B">
      <w:pPr>
        <w:autoSpaceDE w:val="0"/>
        <w:autoSpaceDN w:val="0"/>
        <w:adjustRightInd w:val="0"/>
        <w:spacing w:after="0" w:line="276" w:lineRule="auto"/>
        <w:jc w:val="both"/>
      </w:pPr>
    </w:p>
    <w:p w:rsidR="00B0123B" w:rsidRPr="00B0123B" w:rsidRDefault="00B0123B" w:rsidP="00B0123B">
      <w:pPr>
        <w:autoSpaceDE w:val="0"/>
        <w:autoSpaceDN w:val="0"/>
        <w:adjustRightInd w:val="0"/>
        <w:spacing w:after="0" w:line="276" w:lineRule="auto"/>
        <w:jc w:val="both"/>
      </w:pPr>
      <w:r w:rsidRPr="00B0123B">
        <w:t xml:space="preserve">La información del grupo de sociedades en los términos previstos en el artículo 42 del Código de Comercio es la siguiente: </w:t>
      </w:r>
    </w:p>
    <w:p w:rsidR="00B0123B" w:rsidRDefault="00B0123B"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La Sociedad Dominante es el Instituto Tecnológico y de Energías Renovables S.A., que al cierre del ejercicio poseía el 100% de las participaciones, tiene su domicilio en Polígono Industrial de Granadilla, s/n, Granadilla de Abona, Tenerife y deposita las cuentas anuales consolidadas en el Registro Mercantil de Santa Cruz de Tenerife. </w:t>
      </w:r>
    </w:p>
    <w:p w:rsidR="00B0123B" w:rsidRPr="00B0123B" w:rsidRDefault="00B0123B"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La moneda funcional con la que opera la empresa es el euro, presentándose las cantidades en esta memoria en dicha moneda. </w:t>
      </w:r>
    </w:p>
    <w:p w:rsidR="00B0123B" w:rsidRPr="00B0123B" w:rsidRDefault="00B0123B" w:rsidP="00B0123B">
      <w:pPr>
        <w:autoSpaceDE w:val="0"/>
        <w:autoSpaceDN w:val="0"/>
        <w:adjustRightInd w:val="0"/>
        <w:spacing w:after="0" w:line="276" w:lineRule="auto"/>
        <w:jc w:val="both"/>
      </w:pPr>
    </w:p>
    <w:p w:rsidR="00B0123B" w:rsidRPr="00B0123B" w:rsidRDefault="00B0123B" w:rsidP="00B0123B">
      <w:pPr>
        <w:autoSpaceDE w:val="0"/>
        <w:autoSpaceDN w:val="0"/>
        <w:adjustRightInd w:val="0"/>
        <w:spacing w:after="0" w:line="276" w:lineRule="auto"/>
        <w:jc w:val="both"/>
        <w:rPr>
          <w:u w:val="single"/>
        </w:rPr>
      </w:pPr>
      <w:r w:rsidRPr="00B0123B">
        <w:rPr>
          <w:u w:val="single"/>
        </w:rPr>
        <w:t xml:space="preserve">Objeto social </w:t>
      </w:r>
    </w:p>
    <w:p w:rsidR="00B0123B" w:rsidRPr="00B0123B" w:rsidRDefault="00B0123B"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La Sociedad tiene como objeto de su actividad contribuir a mejorar y optimizar el conocimiento sobre el fenómeno volcánico con la finalidad de realizar una mejor gestión del riesgo volcánico así como de las bondades de vivir en una zona volcánicamente activa para contribuir al desarrollo sostenible de las sociedades establecidas en territorios volcánicos. </w:t>
      </w:r>
    </w:p>
    <w:p w:rsidR="00766814" w:rsidRPr="00B0123B" w:rsidRDefault="00766814"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Le están especialmente encomendadas dentro de su objeto social, entre otras, las siguientes actividades: </w:t>
      </w:r>
    </w:p>
    <w:p w:rsidR="00766814" w:rsidRPr="00B0123B" w:rsidRDefault="00766814"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 La cooperación y coordinación administrativa entre las administraciones públicas para realizar y promover cualquier tipo de investigación vulcanológica o relacionada con ella, con un especial énfasis en la reducción del riesgo volcánico. </w:t>
      </w:r>
    </w:p>
    <w:p w:rsidR="00766814" w:rsidRPr="00B0123B" w:rsidRDefault="00766814" w:rsidP="00B0123B">
      <w:pPr>
        <w:autoSpaceDE w:val="0"/>
        <w:autoSpaceDN w:val="0"/>
        <w:adjustRightInd w:val="0"/>
        <w:spacing w:after="0" w:line="276" w:lineRule="auto"/>
        <w:jc w:val="both"/>
      </w:pPr>
    </w:p>
    <w:p w:rsidR="00B0123B" w:rsidRPr="00B0123B" w:rsidRDefault="00B0123B" w:rsidP="00B0123B">
      <w:pPr>
        <w:autoSpaceDE w:val="0"/>
        <w:autoSpaceDN w:val="0"/>
        <w:adjustRightInd w:val="0"/>
        <w:spacing w:after="0" w:line="276" w:lineRule="auto"/>
        <w:jc w:val="both"/>
      </w:pPr>
      <w:r w:rsidRPr="00B0123B">
        <w:t xml:space="preserve">· Contribuir a mejorar y optimizar el conocimiento sobre el fenómeno volcánico con la finalidad de realizar una mejor gestión de las fortalezas y debilidades de vivir en una zona volcánicamente </w:t>
      </w:r>
      <w:r w:rsidRPr="00B0123B">
        <w:lastRenderedPageBreak/>
        <w:t xml:space="preserve">activa para contribuir al desarrollo sostenible de las sociedades establecidas en territorios volcánicos. </w:t>
      </w:r>
    </w:p>
    <w:p w:rsidR="00B0123B" w:rsidRDefault="00B0123B" w:rsidP="00B0123B">
      <w:pPr>
        <w:autoSpaceDE w:val="0"/>
        <w:autoSpaceDN w:val="0"/>
        <w:adjustRightInd w:val="0"/>
        <w:spacing w:after="0" w:line="276" w:lineRule="auto"/>
        <w:jc w:val="both"/>
      </w:pPr>
      <w:r w:rsidRPr="00B0123B">
        <w:t xml:space="preserve">· Promover la formación y capacitación de personal científico y técnico en todos los campos relacionados con la volcanología. </w:t>
      </w:r>
    </w:p>
    <w:p w:rsidR="00766814" w:rsidRPr="00B0123B" w:rsidRDefault="00766814"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 Contribuir a la materialización de la respuesta más adecuada ante posibles fenómenos vulcanológicos que ocurran en las islas, así como en otras zonas volcánicamente activas. </w:t>
      </w:r>
    </w:p>
    <w:p w:rsidR="00766814" w:rsidRPr="00B0123B" w:rsidRDefault="00766814"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 Fomentar las relaciones con la comunidad científica nacional e internacional impulsando la colaboración </w:t>
      </w:r>
      <w:proofErr w:type="gramStart"/>
      <w:r w:rsidRPr="00B0123B">
        <w:t>científico</w:t>
      </w:r>
      <w:proofErr w:type="gramEnd"/>
      <w:r w:rsidR="00766814">
        <w:t xml:space="preserve"> </w:t>
      </w:r>
      <w:r w:rsidRPr="00B0123B">
        <w:t xml:space="preserve">técnica y la creación de una red de conocimiento sobre el fenómeno volcánico que permita alcanzar un mayor nivel de conocimiento sobre el mismo </w:t>
      </w:r>
    </w:p>
    <w:p w:rsidR="00766814" w:rsidRPr="00B0123B" w:rsidRDefault="00766814" w:rsidP="00B0123B">
      <w:pPr>
        <w:autoSpaceDE w:val="0"/>
        <w:autoSpaceDN w:val="0"/>
        <w:adjustRightInd w:val="0"/>
        <w:spacing w:after="0" w:line="276" w:lineRule="auto"/>
        <w:jc w:val="both"/>
      </w:pPr>
    </w:p>
    <w:p w:rsidR="00821D35" w:rsidRDefault="00B0123B" w:rsidP="00B0123B">
      <w:pPr>
        <w:autoSpaceDE w:val="0"/>
        <w:autoSpaceDN w:val="0"/>
        <w:adjustRightInd w:val="0"/>
        <w:spacing w:after="0" w:line="276" w:lineRule="auto"/>
        <w:jc w:val="both"/>
      </w:pPr>
      <w:r w:rsidRPr="00B0123B">
        <w:t>. Colaborar con las Universidades Canarias en la enseñanza superior universitaria en materia vulcanológica, así como las relacionadas con ella</w:t>
      </w:r>
      <w:r w:rsidR="00821D35">
        <w:t>.</w:t>
      </w:r>
    </w:p>
    <w:p w:rsidR="00B0123B" w:rsidRPr="00B0123B" w:rsidRDefault="00B0123B" w:rsidP="00B0123B">
      <w:pPr>
        <w:autoSpaceDE w:val="0"/>
        <w:autoSpaceDN w:val="0"/>
        <w:adjustRightInd w:val="0"/>
        <w:spacing w:after="0" w:line="276" w:lineRule="auto"/>
        <w:jc w:val="both"/>
      </w:pPr>
      <w:r w:rsidRPr="00B0123B">
        <w:t xml:space="preserve"> </w:t>
      </w:r>
    </w:p>
    <w:p w:rsidR="00B0123B" w:rsidRDefault="00B0123B" w:rsidP="00B0123B">
      <w:pPr>
        <w:autoSpaceDE w:val="0"/>
        <w:autoSpaceDN w:val="0"/>
        <w:adjustRightInd w:val="0"/>
        <w:spacing w:after="0" w:line="276" w:lineRule="auto"/>
        <w:jc w:val="both"/>
      </w:pPr>
      <w:r w:rsidRPr="00B0123B">
        <w:t xml:space="preserve">. Fomentar la popularización de la ciencia en materia vulcanológica, así como las relacionadas con ella, con la finalidad de contribuir a una mayor educación y cultura de la ciudadanía sobre el fenómeno volcánico. </w:t>
      </w:r>
    </w:p>
    <w:p w:rsidR="00766814" w:rsidRPr="00B0123B" w:rsidRDefault="00766814"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 La elaboración de estudios, proyectos técnicos, servicios de asesoría, asistencia técnica y dirección de obra, así como la impartición de cursos de enseñanza y capacitación dirigidos al personal, dentro del campo de aplicación de cualquier tipo de actividad desarrollada en materia medioambiental. </w:t>
      </w:r>
    </w:p>
    <w:p w:rsidR="00766814" w:rsidRPr="00B0123B" w:rsidRDefault="00766814"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 xml:space="preserve">Las actividades integrantes del objeto social podrán ser desarrolladas total o parcialmente, de forma directa o indirecta, mediante la participación en otras sociedades con objeto idéntico o análogo, pudiendo contratar y subcontratar con terceros para su mejor desarrollo. </w:t>
      </w:r>
    </w:p>
    <w:p w:rsidR="00766814" w:rsidRDefault="00766814" w:rsidP="00B0123B">
      <w:pPr>
        <w:autoSpaceDE w:val="0"/>
        <w:autoSpaceDN w:val="0"/>
        <w:adjustRightInd w:val="0"/>
        <w:spacing w:after="0" w:line="276" w:lineRule="auto"/>
        <w:jc w:val="both"/>
      </w:pPr>
    </w:p>
    <w:p w:rsidR="00B0123B" w:rsidRDefault="00B0123B" w:rsidP="00B0123B">
      <w:pPr>
        <w:autoSpaceDE w:val="0"/>
        <w:autoSpaceDN w:val="0"/>
        <w:adjustRightInd w:val="0"/>
        <w:spacing w:after="0" w:line="276" w:lineRule="auto"/>
        <w:jc w:val="both"/>
      </w:pPr>
      <w:r w:rsidRPr="00B0123B">
        <w:t>La actividad actual de la empresa coincide con su objeto social</w:t>
      </w:r>
    </w:p>
    <w:p w:rsidR="00B0123B" w:rsidRDefault="00B0123B" w:rsidP="00B0123B">
      <w:pPr>
        <w:autoSpaceDE w:val="0"/>
        <w:autoSpaceDN w:val="0"/>
        <w:adjustRightInd w:val="0"/>
        <w:spacing w:after="0" w:line="240" w:lineRule="auto"/>
      </w:pPr>
    </w:p>
    <w:p w:rsidR="0074309A" w:rsidRPr="008A0E1E" w:rsidRDefault="00B0123B" w:rsidP="00B0123B">
      <w:pPr>
        <w:pStyle w:val="Ttulo4"/>
      </w:pPr>
      <w:r w:rsidRPr="008A0E1E">
        <w:rPr>
          <w:sz w:val="16"/>
          <w:szCs w:val="16"/>
        </w:rPr>
        <w:t xml:space="preserve"> </w:t>
      </w:r>
      <w:r w:rsidR="0074309A" w:rsidRPr="008A0E1E">
        <w:t xml:space="preserve">2.- BASES DE PRESENTACIÓN DE LAS CUENTAS ANUALES </w:t>
      </w:r>
    </w:p>
    <w:p w:rsidR="009D319E" w:rsidRDefault="009D319E" w:rsidP="00DE3092">
      <w:pPr>
        <w:rPr>
          <w:u w:val="single"/>
        </w:rPr>
      </w:pPr>
    </w:p>
    <w:p w:rsidR="00DE3092" w:rsidRPr="00DE3092" w:rsidRDefault="00DE3092" w:rsidP="00DE3092">
      <w:pPr>
        <w:rPr>
          <w:u w:val="single"/>
        </w:rPr>
      </w:pPr>
      <w:r w:rsidRPr="00DE3092">
        <w:rPr>
          <w:u w:val="single"/>
        </w:rPr>
        <w:t>Imagen Fiel</w:t>
      </w:r>
    </w:p>
    <w:p w:rsidR="00DE3092" w:rsidRPr="00DE3092" w:rsidRDefault="00DE3092" w:rsidP="00DE3092">
      <w:pPr>
        <w:jc w:val="both"/>
      </w:pPr>
      <w:r w:rsidRPr="00DE3092">
        <w:t xml:space="preserve">Las Cuentas Anuales adjuntas han sido formuladas por la Junta de Administradores a partir de los registros contables de la </w:t>
      </w:r>
      <w:r>
        <w:t>Sociedad</w:t>
      </w:r>
      <w:r w:rsidRPr="00DE3092">
        <w:t xml:space="preserve"> a 31 de diciembre </w:t>
      </w:r>
      <w:r>
        <w:t xml:space="preserve">de 2017 </w:t>
      </w:r>
      <w:r w:rsidRPr="00DE3092">
        <w:t xml:space="preserve">y en ellas se han aplicado los principios contables y criterios de valoración recogidos en el Real Decreto 1514/2007, </w:t>
      </w:r>
      <w:r>
        <w:t>por el que se aprueba el Plan General de Contabilidad y el resto de disposiciones legales</w:t>
      </w:r>
      <w:r w:rsidRPr="00DE3092">
        <w:t xml:space="preserve"> vigentes en materia contable, y muestran la imagen fiel del patrimonio, de la situación financiera y de los resultados de la Sociedad. </w:t>
      </w:r>
    </w:p>
    <w:p w:rsidR="00DE3092" w:rsidRPr="00DE3092" w:rsidRDefault="00DE3092" w:rsidP="00DE3092">
      <w:pPr>
        <w:jc w:val="both"/>
      </w:pPr>
      <w:r w:rsidRPr="00DE3092">
        <w:t xml:space="preserve">No existen razones excepcionales por las que, para mostrar la imagen fiel, no se hayan aplicado disposiciones legales en materia contable. </w:t>
      </w:r>
    </w:p>
    <w:p w:rsidR="00DE3092" w:rsidRDefault="00DE3092" w:rsidP="00DE3092">
      <w:pPr>
        <w:jc w:val="both"/>
      </w:pPr>
      <w:r w:rsidRPr="00DE3092">
        <w:lastRenderedPageBreak/>
        <w:t xml:space="preserve">Las Cuentas Anuales adjuntas se someterán a la aprobación por la Junta General Ordinaria de Accionistas, estimándose que serán aprobadas sin modificación alguna. </w:t>
      </w:r>
    </w:p>
    <w:p w:rsidR="00DE3092" w:rsidRPr="00DE3092" w:rsidRDefault="00DE3092" w:rsidP="00DE3092">
      <w:pPr>
        <w:jc w:val="both"/>
      </w:pPr>
      <w:r>
        <w:t xml:space="preserve">Las Cuentas Anuales del ejercicio anterior, fueron aprobadas por la Junta General Ordinaria </w:t>
      </w:r>
      <w:r w:rsidRPr="00947F76">
        <w:t xml:space="preserve">el </w:t>
      </w:r>
      <w:r w:rsidR="00947F76" w:rsidRPr="00947F76">
        <w:t>27</w:t>
      </w:r>
      <w:r w:rsidRPr="00947F76">
        <w:t xml:space="preserve"> de </w:t>
      </w:r>
      <w:r w:rsidR="00947F76" w:rsidRPr="00947F76">
        <w:t xml:space="preserve">Abril </w:t>
      </w:r>
      <w:r w:rsidRPr="00947F76">
        <w:t>de 2017.</w:t>
      </w:r>
    </w:p>
    <w:p w:rsidR="00DE3092" w:rsidRPr="00DE3092" w:rsidRDefault="00DE3092" w:rsidP="00DE3092">
      <w:pPr>
        <w:jc w:val="both"/>
      </w:pPr>
      <w:r w:rsidRPr="00DE3092">
        <w:t xml:space="preserve">Se le aplica la normativa establecida en la Ley de Sociedades de Capital, cuyo texto refundido se aprobó por Real Decreto Legislativo 1/2010 de 2 de Julio, la ley de Sociedades de Capital, Código de Comercio y disposiciones complementarias. </w:t>
      </w:r>
    </w:p>
    <w:p w:rsidR="00DE3092" w:rsidRPr="00DE3092" w:rsidRDefault="00DE3092" w:rsidP="00DE3092">
      <w:pPr>
        <w:jc w:val="both"/>
      </w:pPr>
      <w:r w:rsidRPr="00DE3092">
        <w:rPr>
          <w:u w:val="single"/>
        </w:rPr>
        <w:t>Principios contables</w:t>
      </w:r>
      <w:r w:rsidRPr="00DE3092">
        <w:t xml:space="preserve"> </w:t>
      </w:r>
    </w:p>
    <w:p w:rsidR="00C301A3" w:rsidRDefault="00DE3092" w:rsidP="00DE3092">
      <w:pPr>
        <w:jc w:val="both"/>
      </w:pPr>
      <w:r w:rsidRPr="00DE3092">
        <w:t xml:space="preserve">Se han aplicado los principios contables obligatorios sin ser necesarios su ausencia, su modificación o el uso de principios opcionales para la contabilización fidedigna de todas las operaciones de la empresa. </w:t>
      </w:r>
    </w:p>
    <w:p w:rsidR="0074309A" w:rsidRPr="009254FA" w:rsidRDefault="0074309A" w:rsidP="00DE3092">
      <w:pPr>
        <w:jc w:val="both"/>
        <w:rPr>
          <w:u w:val="single"/>
        </w:rPr>
      </w:pPr>
      <w:r w:rsidRPr="00C301A3">
        <w:rPr>
          <w:u w:val="single"/>
        </w:rPr>
        <w:t>Aspectos críticos de la</w:t>
      </w:r>
      <w:r w:rsidRPr="009254FA">
        <w:rPr>
          <w:u w:val="single"/>
        </w:rPr>
        <w:t xml:space="preserve"> valoración y estimación de la incertidumbre </w:t>
      </w:r>
    </w:p>
    <w:p w:rsidR="0074309A" w:rsidRPr="0074309A" w:rsidRDefault="0093793B" w:rsidP="0093793B">
      <w:pPr>
        <w:jc w:val="both"/>
      </w:pPr>
      <w:r>
        <w:t xml:space="preserve">La sociedad ha elaborado sus estados financieros bajo el principio de empresa en funcionamiento, </w:t>
      </w:r>
      <w:r w:rsidR="0074309A" w:rsidRPr="0074309A">
        <w:t xml:space="preserve"> </w:t>
      </w:r>
      <w:r>
        <w:t>sin que exista ningún tipo de riesgo importante que pueda suponer cambios significativos en el valor de los activos o pasivos en el ejercicio siguiente.</w:t>
      </w:r>
      <w:r w:rsidR="0074309A" w:rsidRPr="0074309A">
        <w:t xml:space="preserve"> </w:t>
      </w:r>
    </w:p>
    <w:p w:rsidR="0074309A" w:rsidRPr="009254FA" w:rsidRDefault="0074309A" w:rsidP="0074309A">
      <w:pPr>
        <w:jc w:val="both"/>
        <w:rPr>
          <w:u w:val="single"/>
        </w:rPr>
      </w:pPr>
      <w:r w:rsidRPr="009254FA">
        <w:rPr>
          <w:u w:val="single"/>
        </w:rPr>
        <w:t xml:space="preserve">Comparación de la información </w:t>
      </w:r>
    </w:p>
    <w:p w:rsidR="0074309A" w:rsidRPr="0074309A" w:rsidRDefault="0074309A" w:rsidP="0074309A">
      <w:pPr>
        <w:jc w:val="both"/>
      </w:pPr>
      <w:r w:rsidRPr="0074309A">
        <w:t>Las cuentas anuales presentan a efectos comparativos, con cada una de las partidas del</w:t>
      </w:r>
      <w:r w:rsidR="009254FA">
        <w:t xml:space="preserve"> </w:t>
      </w:r>
      <w:r w:rsidRPr="0074309A">
        <w:t>balance de situación, de la cuenta de pérdidas y ganancias y, en caso de confeccionarse, del estado de cambios en el patrimonio neto y de estado de flujos de efectivo, además de las cifras del ejercicio 201</w:t>
      </w:r>
      <w:r w:rsidR="009254FA">
        <w:t>7</w:t>
      </w:r>
      <w:r w:rsidRPr="0074309A">
        <w:t>, las correspondientes al ejercicio anterior. Asimismo, la información contenida en esta memoria referida al ejercicio 201</w:t>
      </w:r>
      <w:r w:rsidR="009254FA">
        <w:t>7</w:t>
      </w:r>
      <w:r w:rsidRPr="0074309A">
        <w:t xml:space="preserve"> se presenta, a efectos comparativos con l</w:t>
      </w:r>
      <w:r w:rsidR="009254FA">
        <w:t>a información del ejercicio 2016</w:t>
      </w:r>
      <w:r w:rsidRPr="0074309A">
        <w:t xml:space="preserve">. </w:t>
      </w:r>
    </w:p>
    <w:p w:rsidR="0074309A" w:rsidRPr="0074309A" w:rsidRDefault="0074309A" w:rsidP="0074309A">
      <w:pPr>
        <w:jc w:val="both"/>
      </w:pPr>
      <w:r w:rsidRPr="0074309A">
        <w:t xml:space="preserve">La </w:t>
      </w:r>
      <w:r w:rsidR="00AD2A7F">
        <w:t>Sociedad</w:t>
      </w:r>
      <w:r w:rsidRPr="0074309A">
        <w:t xml:space="preserve"> no está obligada a auditar las cuentas anuales de los ejercicios 201</w:t>
      </w:r>
      <w:r w:rsidR="0028432E">
        <w:t>7 y 2016</w:t>
      </w:r>
      <w:r w:rsidRPr="0074309A">
        <w:t xml:space="preserve">. </w:t>
      </w:r>
    </w:p>
    <w:p w:rsidR="0074309A" w:rsidRPr="0028432E" w:rsidRDefault="0074309A" w:rsidP="0074309A">
      <w:pPr>
        <w:jc w:val="both"/>
        <w:rPr>
          <w:u w:val="single"/>
        </w:rPr>
      </w:pPr>
      <w:r w:rsidRPr="0028432E">
        <w:rPr>
          <w:u w:val="single"/>
        </w:rPr>
        <w:t xml:space="preserve">Elementos recogidos en varias partidas </w:t>
      </w:r>
    </w:p>
    <w:p w:rsidR="0074309A" w:rsidRPr="0074309A" w:rsidRDefault="0074309A" w:rsidP="0074309A">
      <w:pPr>
        <w:jc w:val="both"/>
      </w:pPr>
      <w:r w:rsidRPr="0074309A">
        <w:t xml:space="preserve">No existen elementos patrimoniales del Activo o del Pasivo que figuren en más de una partida del Balance. </w:t>
      </w:r>
    </w:p>
    <w:p w:rsidR="0074309A" w:rsidRPr="0028432E" w:rsidRDefault="0074309A" w:rsidP="0074309A">
      <w:pPr>
        <w:jc w:val="both"/>
        <w:rPr>
          <w:u w:val="single"/>
        </w:rPr>
      </w:pPr>
      <w:r w:rsidRPr="0028432E">
        <w:rPr>
          <w:u w:val="single"/>
        </w:rPr>
        <w:t xml:space="preserve">Cambios en criterios contables </w:t>
      </w:r>
    </w:p>
    <w:p w:rsidR="0074309A" w:rsidRPr="0074309A" w:rsidRDefault="0074309A" w:rsidP="0074309A">
      <w:pPr>
        <w:jc w:val="both"/>
      </w:pPr>
      <w:r w:rsidRPr="0074309A">
        <w:t xml:space="preserve">En el presente ejercicio, no se han realizado cambios en criterios contables. </w:t>
      </w:r>
    </w:p>
    <w:p w:rsidR="0074309A" w:rsidRPr="0028432E" w:rsidRDefault="0074309A" w:rsidP="0074309A">
      <w:pPr>
        <w:jc w:val="both"/>
        <w:rPr>
          <w:u w:val="single"/>
        </w:rPr>
      </w:pPr>
      <w:r w:rsidRPr="0028432E">
        <w:rPr>
          <w:u w:val="single"/>
        </w:rPr>
        <w:t xml:space="preserve">Corrección de errores </w:t>
      </w:r>
    </w:p>
    <w:p w:rsidR="0074309A" w:rsidRPr="0074309A" w:rsidRDefault="0074309A" w:rsidP="0074309A">
      <w:pPr>
        <w:jc w:val="both"/>
      </w:pPr>
      <w:r w:rsidRPr="0074309A">
        <w:t>Las cuentas anuales del ejercicio 201</w:t>
      </w:r>
      <w:r w:rsidR="0028432E">
        <w:t>7</w:t>
      </w:r>
      <w:r w:rsidRPr="0074309A">
        <w:t xml:space="preserve"> no incluyen ajustes realizados como consecuencia de errores detectados en el ejercicio. </w:t>
      </w:r>
    </w:p>
    <w:p w:rsidR="0074309A" w:rsidRPr="0028432E" w:rsidRDefault="0074309A" w:rsidP="0074309A">
      <w:pPr>
        <w:jc w:val="both"/>
        <w:rPr>
          <w:u w:val="single"/>
        </w:rPr>
      </w:pPr>
      <w:r w:rsidRPr="0028432E">
        <w:rPr>
          <w:u w:val="single"/>
        </w:rPr>
        <w:t xml:space="preserve">Importancia Relativa </w:t>
      </w:r>
    </w:p>
    <w:p w:rsidR="0028432E" w:rsidRDefault="0074309A" w:rsidP="0074309A">
      <w:pPr>
        <w:jc w:val="both"/>
      </w:pPr>
      <w:r w:rsidRPr="0074309A">
        <w:t xml:space="preserve">Al determinar la información a desglosar en la presente memoria sobre las diferentes partidas de los estados financieros u otros asuntos, la </w:t>
      </w:r>
      <w:r w:rsidR="00AD2A7F">
        <w:t>Sociedad</w:t>
      </w:r>
      <w:r w:rsidRPr="0074309A">
        <w:t>, de acuerdo con el Marco conceptual del Plan General de Contabilidad, ha tenido en cuenta la importancia relativa en relación con las cuentas anuales del ejercicio 201</w:t>
      </w:r>
      <w:r w:rsidR="0028432E">
        <w:t>7</w:t>
      </w:r>
      <w:r w:rsidRPr="0074309A">
        <w:t>.</w:t>
      </w:r>
    </w:p>
    <w:p w:rsidR="00B8670C" w:rsidRPr="00B8670C" w:rsidRDefault="0074309A" w:rsidP="0074309A">
      <w:pPr>
        <w:jc w:val="both"/>
        <w:rPr>
          <w:sz w:val="14"/>
        </w:rPr>
      </w:pPr>
      <w:r w:rsidRPr="0074309A">
        <w:t xml:space="preserve"> </w:t>
      </w:r>
    </w:p>
    <w:p w:rsidR="00B8670C" w:rsidRPr="008A0E1E" w:rsidRDefault="00310282" w:rsidP="00B8670C">
      <w:pPr>
        <w:pStyle w:val="Ttulo4"/>
      </w:pPr>
      <w:r w:rsidRPr="008A0E1E">
        <w:lastRenderedPageBreak/>
        <w:t>3.-</w:t>
      </w:r>
      <w:r w:rsidR="0074309A" w:rsidRPr="008A0E1E">
        <w:t xml:space="preserve"> NORMAS DE REGISTRO Y VALORACIÓN </w:t>
      </w:r>
      <w:r w:rsidR="00990048" w:rsidRPr="008A0E1E">
        <w:t xml:space="preserve">   </w:t>
      </w:r>
    </w:p>
    <w:p w:rsidR="00B8670C" w:rsidRDefault="00B8670C" w:rsidP="0074309A">
      <w:pPr>
        <w:pStyle w:val="Default"/>
        <w:jc w:val="both"/>
        <w:rPr>
          <w:sz w:val="20"/>
          <w:szCs w:val="20"/>
        </w:rPr>
      </w:pPr>
    </w:p>
    <w:p w:rsidR="0074309A" w:rsidRPr="009511D6" w:rsidRDefault="00310282" w:rsidP="0074309A">
      <w:pPr>
        <w:pStyle w:val="Default"/>
        <w:jc w:val="both"/>
        <w:rPr>
          <w:rFonts w:asciiTheme="minorHAnsi" w:hAnsiTheme="minorHAnsi"/>
          <w:b/>
          <w:bCs/>
          <w:sz w:val="22"/>
          <w:szCs w:val="20"/>
          <w:u w:val="single"/>
        </w:rPr>
      </w:pPr>
      <w:r>
        <w:rPr>
          <w:rFonts w:asciiTheme="minorHAnsi" w:hAnsiTheme="minorHAnsi"/>
          <w:b/>
          <w:bCs/>
          <w:sz w:val="22"/>
          <w:szCs w:val="20"/>
          <w:u w:val="single"/>
        </w:rPr>
        <w:t>3</w:t>
      </w:r>
      <w:r w:rsidR="0074309A" w:rsidRPr="009511D6">
        <w:rPr>
          <w:rFonts w:asciiTheme="minorHAnsi" w:hAnsiTheme="minorHAnsi"/>
          <w:b/>
          <w:bCs/>
          <w:sz w:val="22"/>
          <w:szCs w:val="20"/>
          <w:u w:val="single"/>
        </w:rPr>
        <w:t xml:space="preserve">.1 Inmovilizado Intangible </w:t>
      </w:r>
    </w:p>
    <w:p w:rsidR="00B8670C" w:rsidRDefault="00B8670C" w:rsidP="0074309A">
      <w:pPr>
        <w:pStyle w:val="Default"/>
        <w:jc w:val="both"/>
        <w:rPr>
          <w:sz w:val="20"/>
          <w:szCs w:val="20"/>
        </w:rPr>
      </w:pPr>
    </w:p>
    <w:p w:rsidR="00310282" w:rsidRDefault="00310282" w:rsidP="009511D6">
      <w:pPr>
        <w:jc w:val="both"/>
      </w:pPr>
      <w:r w:rsidRPr="005D123F">
        <w:t xml:space="preserve">Se valora a su precio de adquisición </w:t>
      </w:r>
      <w:r w:rsidR="005D123F" w:rsidRPr="005D123F">
        <w:t>por</w:t>
      </w:r>
      <w:r w:rsidRPr="005D123F">
        <w:t xml:space="preserve"> su coste</w:t>
      </w:r>
      <w:r w:rsidR="005D123F">
        <w:t>, ya sea éste el precio de adquisición o el coste</w:t>
      </w:r>
      <w:r w:rsidRPr="005D123F">
        <w:t xml:space="preserve"> de producción </w:t>
      </w:r>
      <w:r w:rsidR="005D123F">
        <w:t>El coste del Inmovilizado intangible adquirido mediante combinaciones de negocios es su valor razonable en la fecha de adquisición.</w:t>
      </w:r>
    </w:p>
    <w:p w:rsidR="005D123F" w:rsidRPr="005D123F" w:rsidRDefault="005D123F" w:rsidP="005D123F">
      <w:pPr>
        <w:jc w:val="both"/>
      </w:pPr>
      <w:r w:rsidRPr="005D123F">
        <w:t>Después del reconocimiento inicial, el inmovilizado intangible se valora por su coste, menos la amortización acumulada y, en su caso, el importe acumulado de las correcciones por deterioro registradas.</w:t>
      </w:r>
    </w:p>
    <w:p w:rsidR="005D123F" w:rsidRPr="005D123F" w:rsidRDefault="005D123F" w:rsidP="005D123F">
      <w:pPr>
        <w:jc w:val="both"/>
      </w:pPr>
      <w:r w:rsidRPr="005D123F">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5D123F" w:rsidRPr="005D123F" w:rsidRDefault="005D123F" w:rsidP="005D123F">
      <w:pPr>
        <w:jc w:val="both"/>
      </w:pPr>
      <w:r w:rsidRPr="005D123F">
        <w:t>En el presente ejercicio no se han reconocido “Pérdidas netas por deterioro” derivadas de los activos intangibles.</w:t>
      </w:r>
    </w:p>
    <w:p w:rsidR="005D123F" w:rsidRDefault="005D123F" w:rsidP="005D123F">
      <w:pPr>
        <w:jc w:val="both"/>
      </w:pPr>
      <w:r w:rsidRPr="005D123F">
        <w:t>La amortización de los elementos del inmovilizado intangibles de forma lineal durante su vida útil estimada, en función de los siguientes años de vida útil:</w:t>
      </w:r>
    </w:p>
    <w:p w:rsidR="00EE7CE5" w:rsidRPr="005D123F" w:rsidRDefault="00EE7CE5" w:rsidP="005D123F">
      <w:pPr>
        <w:jc w:val="both"/>
      </w:pPr>
    </w:p>
    <w:tbl>
      <w:tblPr>
        <w:tblW w:w="6726" w:type="dxa"/>
        <w:tblInd w:w="716" w:type="dxa"/>
        <w:tblCellMar>
          <w:left w:w="70" w:type="dxa"/>
          <w:right w:w="70" w:type="dxa"/>
        </w:tblCellMar>
        <w:tblLook w:val="04A0"/>
      </w:tblPr>
      <w:tblGrid>
        <w:gridCol w:w="3890"/>
        <w:gridCol w:w="1418"/>
        <w:gridCol w:w="1418"/>
      </w:tblGrid>
      <w:tr w:rsidR="00EE7CE5" w:rsidRPr="009511D6" w:rsidTr="00672CD2">
        <w:trPr>
          <w:trHeight w:val="379"/>
        </w:trPr>
        <w:tc>
          <w:tcPr>
            <w:tcW w:w="389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E7CE5" w:rsidRPr="008D1E05" w:rsidRDefault="00EE7CE5" w:rsidP="00EE7CE5">
            <w:pPr>
              <w:tabs>
                <w:tab w:val="left" w:pos="4883"/>
              </w:tabs>
              <w:spacing w:after="0" w:line="240" w:lineRule="auto"/>
              <w:jc w:val="center"/>
              <w:rPr>
                <w:rFonts w:ascii="Calibri" w:eastAsia="Times New Roman" w:hAnsi="Calibri" w:cs="Times New Roman"/>
                <w:b/>
                <w:bCs/>
                <w:color w:val="000000"/>
                <w:sz w:val="20"/>
                <w:lang w:eastAsia="es-ES"/>
              </w:rPr>
            </w:pPr>
            <w:r w:rsidRPr="008D1E05">
              <w:rPr>
                <w:rFonts w:ascii="Calibri" w:eastAsia="Times New Roman" w:hAnsi="Calibri" w:cs="Times New Roman"/>
                <w:b/>
                <w:bCs/>
                <w:color w:val="000000"/>
                <w:sz w:val="20"/>
                <w:lang w:eastAsia="es-ES"/>
              </w:rPr>
              <w:t>Concepto</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EE7CE5" w:rsidRPr="008D1E05" w:rsidRDefault="00EE7CE5" w:rsidP="00EE7CE5">
            <w:pPr>
              <w:spacing w:after="0" w:line="240" w:lineRule="auto"/>
              <w:jc w:val="center"/>
              <w:rPr>
                <w:rFonts w:ascii="Calibri" w:eastAsia="Times New Roman" w:hAnsi="Calibri" w:cs="Times New Roman"/>
                <w:b/>
                <w:bCs/>
                <w:color w:val="000000"/>
                <w:sz w:val="20"/>
                <w:lang w:eastAsia="es-ES"/>
              </w:rPr>
            </w:pPr>
            <w:r w:rsidRPr="008D1E05">
              <w:rPr>
                <w:rFonts w:ascii="Calibri" w:eastAsia="Times New Roman" w:hAnsi="Calibri" w:cs="Times New Roman"/>
                <w:b/>
                <w:bCs/>
                <w:color w:val="000000"/>
                <w:sz w:val="20"/>
                <w:lang w:eastAsia="es-ES"/>
              </w:rPr>
              <w:t>Años Vida Útil</w:t>
            </w:r>
          </w:p>
        </w:tc>
        <w:tc>
          <w:tcPr>
            <w:tcW w:w="1418" w:type="dxa"/>
            <w:tcBorders>
              <w:top w:val="single" w:sz="4" w:space="0" w:color="auto"/>
              <w:left w:val="nil"/>
              <w:bottom w:val="single" w:sz="4" w:space="0" w:color="auto"/>
              <w:right w:val="single" w:sz="4" w:space="0" w:color="auto"/>
            </w:tcBorders>
            <w:shd w:val="clear" w:color="000000" w:fill="A6A6A6"/>
            <w:vAlign w:val="bottom"/>
          </w:tcPr>
          <w:p w:rsidR="00EE7CE5" w:rsidRPr="008D1E05" w:rsidRDefault="00EE7CE5" w:rsidP="00EE7CE5">
            <w:pPr>
              <w:spacing w:after="0" w:line="240" w:lineRule="auto"/>
              <w:jc w:val="center"/>
              <w:rPr>
                <w:rFonts w:ascii="Calibri" w:eastAsia="Times New Roman" w:hAnsi="Calibri" w:cs="Times New Roman"/>
                <w:b/>
                <w:bCs/>
                <w:color w:val="000000"/>
                <w:sz w:val="20"/>
                <w:lang w:eastAsia="es-ES"/>
              </w:rPr>
            </w:pPr>
            <w:r>
              <w:rPr>
                <w:rFonts w:ascii="Calibri" w:eastAsia="Times New Roman" w:hAnsi="Calibri" w:cs="Times New Roman"/>
                <w:b/>
                <w:bCs/>
                <w:color w:val="000000"/>
                <w:sz w:val="20"/>
                <w:lang w:eastAsia="es-ES"/>
              </w:rPr>
              <w:t>% Anual</w:t>
            </w:r>
          </w:p>
        </w:tc>
      </w:tr>
      <w:tr w:rsidR="00EE7CE5" w:rsidRPr="009511D6" w:rsidTr="00672CD2">
        <w:trPr>
          <w:trHeight w:val="393"/>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EE7CE5" w:rsidRPr="008D1E05" w:rsidRDefault="00EE7CE5" w:rsidP="00EE7CE5">
            <w:pPr>
              <w:tabs>
                <w:tab w:val="left" w:pos="4883"/>
              </w:tabs>
              <w:spacing w:after="0" w:line="240" w:lineRule="auto"/>
              <w:rPr>
                <w:rFonts w:ascii="Calibri" w:eastAsia="Times New Roman" w:hAnsi="Calibri" w:cs="Times New Roman"/>
                <w:color w:val="000000"/>
                <w:sz w:val="20"/>
                <w:lang w:eastAsia="es-ES"/>
              </w:rPr>
            </w:pPr>
            <w:r>
              <w:rPr>
                <w:rFonts w:ascii="Calibri" w:eastAsia="Times New Roman" w:hAnsi="Calibri" w:cs="Times New Roman"/>
                <w:color w:val="000000"/>
                <w:sz w:val="20"/>
                <w:lang w:eastAsia="es-ES"/>
              </w:rPr>
              <w:t>Aplicaciones Informáticas</w:t>
            </w:r>
          </w:p>
        </w:tc>
        <w:tc>
          <w:tcPr>
            <w:tcW w:w="1418" w:type="dxa"/>
            <w:tcBorders>
              <w:top w:val="nil"/>
              <w:left w:val="nil"/>
              <w:bottom w:val="single" w:sz="4" w:space="0" w:color="auto"/>
              <w:right w:val="single" w:sz="4" w:space="0" w:color="auto"/>
            </w:tcBorders>
            <w:shd w:val="clear" w:color="auto" w:fill="auto"/>
            <w:noWrap/>
            <w:vAlign w:val="bottom"/>
            <w:hideMark/>
          </w:tcPr>
          <w:p w:rsidR="00EE7CE5" w:rsidRPr="008D1E05" w:rsidRDefault="00EE7CE5" w:rsidP="00EE7CE5">
            <w:pPr>
              <w:spacing w:after="0" w:line="240" w:lineRule="auto"/>
              <w:jc w:val="center"/>
              <w:rPr>
                <w:rFonts w:ascii="Calibri" w:eastAsia="Times New Roman" w:hAnsi="Calibri" w:cs="Times New Roman"/>
                <w:color w:val="000000"/>
                <w:sz w:val="20"/>
                <w:lang w:eastAsia="es-ES"/>
              </w:rPr>
            </w:pPr>
            <w:r>
              <w:rPr>
                <w:rFonts w:ascii="Calibri" w:eastAsia="Times New Roman" w:hAnsi="Calibri" w:cs="Times New Roman"/>
                <w:color w:val="000000"/>
                <w:sz w:val="20"/>
                <w:lang w:eastAsia="es-ES"/>
              </w:rPr>
              <w:t>3</w:t>
            </w:r>
          </w:p>
        </w:tc>
        <w:tc>
          <w:tcPr>
            <w:tcW w:w="1418" w:type="dxa"/>
            <w:tcBorders>
              <w:top w:val="nil"/>
              <w:left w:val="nil"/>
              <w:bottom w:val="single" w:sz="4" w:space="0" w:color="auto"/>
              <w:right w:val="single" w:sz="4" w:space="0" w:color="auto"/>
            </w:tcBorders>
            <w:vAlign w:val="bottom"/>
          </w:tcPr>
          <w:p w:rsidR="00EE7CE5" w:rsidRPr="008D1E05" w:rsidRDefault="00EE7CE5" w:rsidP="00EE7CE5">
            <w:pPr>
              <w:spacing w:after="0" w:line="240" w:lineRule="auto"/>
              <w:jc w:val="center"/>
              <w:rPr>
                <w:rFonts w:ascii="Calibri" w:eastAsia="Times New Roman" w:hAnsi="Calibri" w:cs="Times New Roman"/>
                <w:color w:val="000000"/>
                <w:sz w:val="20"/>
                <w:lang w:eastAsia="es-ES"/>
              </w:rPr>
            </w:pPr>
            <w:r>
              <w:rPr>
                <w:rFonts w:ascii="Calibri" w:eastAsia="Times New Roman" w:hAnsi="Calibri" w:cs="Times New Roman"/>
                <w:color w:val="000000"/>
                <w:sz w:val="20"/>
                <w:lang w:eastAsia="es-ES"/>
              </w:rPr>
              <w:t>33</w:t>
            </w:r>
          </w:p>
        </w:tc>
      </w:tr>
    </w:tbl>
    <w:p w:rsidR="005D123F" w:rsidRDefault="005D123F" w:rsidP="005D123F">
      <w:pPr>
        <w:jc w:val="both"/>
      </w:pPr>
    </w:p>
    <w:p w:rsidR="0074309A" w:rsidRPr="009511D6" w:rsidRDefault="0074309A" w:rsidP="009511D6">
      <w:pPr>
        <w:jc w:val="both"/>
        <w:rPr>
          <w:u w:val="single"/>
        </w:rPr>
      </w:pPr>
      <w:r w:rsidRPr="009511D6">
        <w:rPr>
          <w:u w:val="single"/>
        </w:rPr>
        <w:t xml:space="preserve">Aplicaciones Informáticas </w:t>
      </w:r>
    </w:p>
    <w:p w:rsidR="00EE7CE5" w:rsidRPr="00EE7CE5" w:rsidRDefault="00EE7CE5" w:rsidP="00EE7CE5">
      <w:pPr>
        <w:jc w:val="both"/>
      </w:pPr>
      <w:r w:rsidRPr="00EE7CE5">
        <w:t>Se valoran al precio de adquisición o coste de producción, incluyéndose en este epígrafe los gastos de desarrollo de las páginas web (siempre que esté prevista su utilización durante varios años). La vida útil de estos elementos se estima en 3 años</w:t>
      </w:r>
    </w:p>
    <w:p w:rsidR="00EE7CE5" w:rsidRDefault="00EE7CE5" w:rsidP="0074309A">
      <w:pPr>
        <w:pStyle w:val="Default"/>
        <w:jc w:val="both"/>
        <w:rPr>
          <w:color w:val="FF0000"/>
          <w:sz w:val="14"/>
          <w:szCs w:val="20"/>
        </w:rPr>
      </w:pPr>
    </w:p>
    <w:p w:rsidR="00EE7CE5" w:rsidRDefault="00EE7CE5" w:rsidP="0074309A">
      <w:pPr>
        <w:pStyle w:val="Default"/>
        <w:jc w:val="both"/>
        <w:rPr>
          <w:color w:val="FF0000"/>
          <w:sz w:val="14"/>
          <w:szCs w:val="20"/>
        </w:rPr>
      </w:pPr>
    </w:p>
    <w:p w:rsidR="0074309A" w:rsidRPr="00F3331D" w:rsidRDefault="00310282" w:rsidP="0074309A">
      <w:pPr>
        <w:pStyle w:val="Default"/>
        <w:jc w:val="both"/>
        <w:rPr>
          <w:rFonts w:asciiTheme="minorHAnsi" w:hAnsiTheme="minorHAnsi"/>
          <w:b/>
          <w:bCs/>
          <w:sz w:val="22"/>
          <w:szCs w:val="20"/>
          <w:u w:val="single"/>
        </w:rPr>
      </w:pPr>
      <w:r>
        <w:rPr>
          <w:rFonts w:asciiTheme="minorHAnsi" w:hAnsiTheme="minorHAnsi"/>
          <w:b/>
          <w:bCs/>
          <w:sz w:val="22"/>
          <w:szCs w:val="20"/>
          <w:u w:val="single"/>
        </w:rPr>
        <w:t>3</w:t>
      </w:r>
      <w:r w:rsidR="0074309A" w:rsidRPr="00F3331D">
        <w:rPr>
          <w:rFonts w:asciiTheme="minorHAnsi" w:hAnsiTheme="minorHAnsi"/>
          <w:b/>
          <w:bCs/>
          <w:sz w:val="22"/>
          <w:szCs w:val="20"/>
          <w:u w:val="single"/>
        </w:rPr>
        <w:t xml:space="preserve">.2 Inmovilizado material </w:t>
      </w:r>
    </w:p>
    <w:p w:rsidR="009511D6" w:rsidRDefault="009511D6" w:rsidP="0074309A">
      <w:pPr>
        <w:pStyle w:val="Default"/>
        <w:jc w:val="both"/>
        <w:rPr>
          <w:sz w:val="20"/>
          <w:szCs w:val="20"/>
        </w:rPr>
      </w:pPr>
    </w:p>
    <w:p w:rsidR="00FB0101" w:rsidRDefault="0074309A" w:rsidP="009511D6">
      <w:pPr>
        <w:jc w:val="both"/>
      </w:pPr>
      <w:r w:rsidRPr="009511D6">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FB0101" w:rsidRDefault="0074309A" w:rsidP="009511D6">
      <w:pPr>
        <w:jc w:val="both"/>
      </w:pPr>
      <w:r w:rsidRPr="009511D6">
        <w:t xml:space="preserve">La </w:t>
      </w:r>
      <w:r w:rsidR="00EE7CE5">
        <w:t>Sociedad</w:t>
      </w:r>
      <w:r w:rsidRPr="009511D6">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w:t>
      </w:r>
      <w:r w:rsidRPr="009511D6">
        <w:lastRenderedPageBreak/>
        <w:t>estimación inicial del valor actual de las obligaciones asumidas derivadas del desmantelamiento o retiro y otras asociadas al activo, tales como costes de rehabilitación, cuando estas obligaciones dan lugar al registro de provisiones.</w:t>
      </w:r>
    </w:p>
    <w:p w:rsidR="0074309A" w:rsidRPr="009511D6" w:rsidRDefault="0074309A" w:rsidP="009511D6">
      <w:pPr>
        <w:jc w:val="both"/>
      </w:pPr>
      <w:r w:rsidRPr="009511D6">
        <w:t xml:space="preserve">No es aplicable la activación de grandes reparaciones y costes de retiro y rehabilitación. </w:t>
      </w:r>
    </w:p>
    <w:p w:rsidR="0074309A" w:rsidRDefault="0074309A" w:rsidP="009511D6">
      <w:pPr>
        <w:jc w:val="both"/>
      </w:pPr>
      <w:r w:rsidRPr="009511D6">
        <w:t xml:space="preserve">La </w:t>
      </w:r>
      <w:r w:rsidR="00FB0101">
        <w:t>Sociedad</w:t>
      </w:r>
      <w:r w:rsidRPr="009511D6">
        <w:t xml:space="preserve"> no tiene compromisos de desmantelamiento, retiro o rehabilitación para sus bienes de activo. Por ello no se han contabilizado en los activos valores para la cobertura de tales obligaciones de futuro. </w:t>
      </w:r>
    </w:p>
    <w:p w:rsidR="009511D6" w:rsidRDefault="009511D6" w:rsidP="009511D6">
      <w:pPr>
        <w:jc w:val="both"/>
      </w:pPr>
      <w:r w:rsidRPr="009511D6">
        <w:t xml:space="preserve">La amortización de los elementos del inmovilizado material se realiza, desde el momento en el que están disponibles para su puesta en funcionamiento, de forma lineal durante su vida útil estimada estimando un valor residual nulo, en función de los siguientes años de vida útil: </w:t>
      </w:r>
    </w:p>
    <w:p w:rsidR="00972E74" w:rsidRDefault="00972E74" w:rsidP="009511D6">
      <w:pPr>
        <w:jc w:val="both"/>
      </w:pPr>
    </w:p>
    <w:tbl>
      <w:tblPr>
        <w:tblW w:w="6800" w:type="dxa"/>
        <w:tblInd w:w="847" w:type="dxa"/>
        <w:tblCellMar>
          <w:left w:w="70" w:type="dxa"/>
          <w:right w:w="70" w:type="dxa"/>
        </w:tblCellMar>
        <w:tblLook w:val="04A0"/>
      </w:tblPr>
      <w:tblGrid>
        <w:gridCol w:w="4080"/>
        <w:gridCol w:w="1360"/>
        <w:gridCol w:w="1360"/>
      </w:tblGrid>
      <w:tr w:rsidR="00972E74" w:rsidRPr="00972E74" w:rsidTr="00972E74">
        <w:trPr>
          <w:trHeight w:val="465"/>
        </w:trPr>
        <w:tc>
          <w:tcPr>
            <w:tcW w:w="4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2E74" w:rsidRPr="00972E74" w:rsidRDefault="00972E74" w:rsidP="00972E74">
            <w:pPr>
              <w:spacing w:after="0" w:line="240" w:lineRule="auto"/>
              <w:jc w:val="center"/>
              <w:rPr>
                <w:rFonts w:ascii="Calibri" w:eastAsia="Times New Roman" w:hAnsi="Calibri" w:cs="Times New Roman"/>
                <w:b/>
                <w:bCs/>
                <w:color w:val="000000"/>
                <w:sz w:val="18"/>
                <w:szCs w:val="18"/>
                <w:lang w:eastAsia="es-ES"/>
              </w:rPr>
            </w:pPr>
            <w:r w:rsidRPr="00972E74">
              <w:rPr>
                <w:rFonts w:ascii="Calibri" w:eastAsia="Times New Roman" w:hAnsi="Calibri" w:cs="Times New Roman"/>
                <w:b/>
                <w:bCs/>
                <w:color w:val="000000"/>
                <w:sz w:val="18"/>
                <w:szCs w:val="18"/>
                <w:lang w:eastAsia="es-ES"/>
              </w:rPr>
              <w:t>Concepto</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972E74" w:rsidRPr="00972E74" w:rsidRDefault="00972E74" w:rsidP="00972E74">
            <w:pPr>
              <w:spacing w:after="0" w:line="240" w:lineRule="auto"/>
              <w:jc w:val="center"/>
              <w:rPr>
                <w:rFonts w:ascii="Calibri" w:eastAsia="Times New Roman" w:hAnsi="Calibri" w:cs="Times New Roman"/>
                <w:b/>
                <w:bCs/>
                <w:color w:val="000000"/>
                <w:sz w:val="18"/>
                <w:szCs w:val="18"/>
                <w:lang w:eastAsia="es-ES"/>
              </w:rPr>
            </w:pPr>
            <w:r w:rsidRPr="00972E74">
              <w:rPr>
                <w:rFonts w:ascii="Calibri" w:eastAsia="Times New Roman" w:hAnsi="Calibri" w:cs="Times New Roman"/>
                <w:b/>
                <w:bCs/>
                <w:color w:val="000000"/>
                <w:sz w:val="18"/>
                <w:szCs w:val="18"/>
                <w:lang w:eastAsia="es-ES"/>
              </w:rPr>
              <w:t>Años Vida Útil</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972E74" w:rsidRPr="00972E74" w:rsidRDefault="00972E74" w:rsidP="00972E74">
            <w:pPr>
              <w:spacing w:after="0" w:line="240" w:lineRule="auto"/>
              <w:jc w:val="center"/>
              <w:rPr>
                <w:rFonts w:ascii="Calibri" w:eastAsia="Times New Roman" w:hAnsi="Calibri" w:cs="Times New Roman"/>
                <w:b/>
                <w:bCs/>
                <w:color w:val="000000"/>
                <w:sz w:val="18"/>
                <w:szCs w:val="18"/>
                <w:lang w:eastAsia="es-ES"/>
              </w:rPr>
            </w:pPr>
            <w:r w:rsidRPr="00972E74">
              <w:rPr>
                <w:rFonts w:ascii="Calibri" w:eastAsia="Times New Roman" w:hAnsi="Calibri" w:cs="Times New Roman"/>
                <w:b/>
                <w:bCs/>
                <w:color w:val="000000"/>
                <w:sz w:val="18"/>
                <w:szCs w:val="18"/>
                <w:lang w:eastAsia="es-ES"/>
              </w:rPr>
              <w:t>% Anual</w:t>
            </w:r>
          </w:p>
        </w:tc>
      </w:tr>
      <w:tr w:rsidR="00972E74" w:rsidRPr="00972E74" w:rsidTr="00972E74">
        <w:trPr>
          <w:trHeight w:val="402"/>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Instalaciones Técnicas - Equipos Electrónicos</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5</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20</w:t>
            </w:r>
          </w:p>
        </w:tc>
      </w:tr>
      <w:tr w:rsidR="00972E74" w:rsidRPr="00972E74" w:rsidTr="00972E74">
        <w:trPr>
          <w:trHeight w:val="402"/>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Utillaje</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4</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25</w:t>
            </w:r>
          </w:p>
        </w:tc>
      </w:tr>
      <w:tr w:rsidR="00972E74" w:rsidRPr="00972E74" w:rsidTr="00972E74">
        <w:trPr>
          <w:trHeight w:val="402"/>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Otras Instalaciones</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5</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20</w:t>
            </w:r>
          </w:p>
        </w:tc>
      </w:tr>
      <w:tr w:rsidR="00972E74" w:rsidRPr="00972E74" w:rsidTr="00972E74">
        <w:trPr>
          <w:trHeight w:val="402"/>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Equipos Proceso Información</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5</w:t>
            </w:r>
          </w:p>
        </w:tc>
        <w:tc>
          <w:tcPr>
            <w:tcW w:w="1360" w:type="dxa"/>
            <w:tcBorders>
              <w:top w:val="nil"/>
              <w:left w:val="nil"/>
              <w:bottom w:val="single" w:sz="4" w:space="0" w:color="auto"/>
              <w:right w:val="single" w:sz="4" w:space="0" w:color="auto"/>
            </w:tcBorders>
            <w:shd w:val="clear" w:color="auto" w:fill="auto"/>
            <w:noWrap/>
            <w:vAlign w:val="bottom"/>
            <w:hideMark/>
          </w:tcPr>
          <w:p w:rsidR="00972E74" w:rsidRPr="00972E74" w:rsidRDefault="00972E74" w:rsidP="00972E74">
            <w:pPr>
              <w:spacing w:after="0" w:line="240" w:lineRule="auto"/>
              <w:jc w:val="center"/>
              <w:rPr>
                <w:rFonts w:ascii="Calibri" w:eastAsia="Times New Roman" w:hAnsi="Calibri" w:cs="Times New Roman"/>
                <w:color w:val="000000"/>
                <w:sz w:val="18"/>
                <w:szCs w:val="18"/>
                <w:lang w:eastAsia="es-ES"/>
              </w:rPr>
            </w:pPr>
            <w:r w:rsidRPr="00972E74">
              <w:rPr>
                <w:rFonts w:ascii="Calibri" w:eastAsia="Times New Roman" w:hAnsi="Calibri" w:cs="Times New Roman"/>
                <w:color w:val="000000"/>
                <w:sz w:val="18"/>
                <w:szCs w:val="18"/>
                <w:lang w:eastAsia="es-ES"/>
              </w:rPr>
              <w:t>20</w:t>
            </w:r>
          </w:p>
        </w:tc>
      </w:tr>
    </w:tbl>
    <w:p w:rsidR="00972E74" w:rsidRDefault="00972E74" w:rsidP="009511D6">
      <w:pPr>
        <w:jc w:val="both"/>
      </w:pPr>
    </w:p>
    <w:p w:rsidR="0074309A" w:rsidRPr="009511D6" w:rsidRDefault="0074309A" w:rsidP="009511D6">
      <w:pPr>
        <w:jc w:val="both"/>
      </w:pPr>
      <w:r w:rsidRPr="009511D6">
        <w:t xml:space="preserve">Los arrendamientos se clasifican como arrendamientos financieros siempre que de las condiciones de los mismos se deduzca que se transfieren al arrendatario sustancialmente los riesgos y beneficios inherentes a la propiedad del activo objeto del contrato. Los demás arrendamientos se clasifican como arrendamientos operativos. </w:t>
      </w:r>
    </w:p>
    <w:p w:rsidR="0074309A" w:rsidRPr="009511D6" w:rsidRDefault="0074309A" w:rsidP="009511D6">
      <w:pPr>
        <w:jc w:val="both"/>
      </w:pPr>
      <w:r w:rsidRPr="009511D6">
        <w:t xml:space="preserve">La normativa vigente establece que el coste de los bienes arrendados se contabilizará en el balance de situación según la naturaleza del bien objeto del contrato y, simultáneamente, un pasivo por el mismo importe. Este importe será el menor entre el valor razonable del bien arrendado y el valor actual al inicio del arrendamiento de las cantidades mínimas acordadas, incluida la opción de compra, cuando no existan dudas razonables sobre su ejercicio. No se incluirán en su cálculo las cuotas de carácter contingente, el coste de los servicios y los impuestos repercutibles por el arrendador. </w:t>
      </w:r>
    </w:p>
    <w:p w:rsidR="0074309A" w:rsidRPr="009511D6" w:rsidRDefault="0074309A" w:rsidP="009511D6">
      <w:pPr>
        <w:jc w:val="both"/>
      </w:pPr>
      <w:r w:rsidRPr="009511D6">
        <w:t xml:space="preserve">En los arrendamientos financieros se contabiliza el activo de acuerdo con su naturaleza, y un pasivo financiero por el mismo importe, que es el menor entre el valor razonable del activo arrendado y el valor actual al inicio del arrendamiento de los pagos mínimos acordados. Los intereses se incorporan directamente como gastos a medida que se van liquidando las cuotas correspondientes. </w:t>
      </w:r>
    </w:p>
    <w:p w:rsidR="0074309A" w:rsidRPr="009511D6" w:rsidRDefault="0074309A" w:rsidP="009511D6">
      <w:pPr>
        <w:jc w:val="both"/>
      </w:pPr>
      <w:r w:rsidRPr="009511D6">
        <w:t xml:space="preserve">Los activos registrados por este tipo de operaciones se amortizan con criterios similares a los aplicados al conjunto de los activos materiales, atendiendo a su naturaleza. </w:t>
      </w:r>
    </w:p>
    <w:p w:rsidR="0074309A" w:rsidRPr="009511D6" w:rsidRDefault="0074309A" w:rsidP="009511D6">
      <w:pPr>
        <w:jc w:val="both"/>
      </w:pPr>
      <w:r w:rsidRPr="009511D6">
        <w:t xml:space="preserve">La </w:t>
      </w:r>
      <w:r w:rsidR="0055248C">
        <w:t>Sociedad</w:t>
      </w:r>
      <w:r w:rsidRPr="009511D6">
        <w:t xml:space="preserve">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w:t>
      </w:r>
      <w:r w:rsidRPr="009511D6">
        <w:lastRenderedPageBreak/>
        <w:t xml:space="preserve">de valor. En caso de que el activo no genere flujos de efectivo que sean independientes de otros activos o grupos de activos, la </w:t>
      </w:r>
      <w:r w:rsidR="0055248C">
        <w:t>Sociedad</w:t>
      </w:r>
      <w:r w:rsidRPr="009511D6">
        <w:t xml:space="preserve"> calcula el valor recuperable de la unidad generadora de efectivo (UGE) a la que pertenece el activo. </w:t>
      </w:r>
    </w:p>
    <w:p w:rsidR="0074309A" w:rsidRPr="009511D6" w:rsidRDefault="0074309A" w:rsidP="009511D6">
      <w:pPr>
        <w:jc w:val="both"/>
      </w:pPr>
      <w:r w:rsidRPr="009511D6">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 </w:t>
      </w:r>
    </w:p>
    <w:p w:rsidR="0074309A" w:rsidRPr="009511D6" w:rsidRDefault="0074309A" w:rsidP="009511D6">
      <w:pPr>
        <w:jc w:val="both"/>
      </w:pPr>
      <w:r w:rsidRPr="009511D6">
        <w:t xml:space="preserve">En el caso de que el importe recuperable estimado sea inferior al valor neto en libros del activo, se registra la correspondiente pérdida por deterioro con cargo a la cuenta de pérdidas y ganancias, reduciendo el valor en libros del activo a su importe recuperable. </w:t>
      </w:r>
    </w:p>
    <w:p w:rsidR="0074309A" w:rsidRDefault="0074309A" w:rsidP="009511D6">
      <w:pPr>
        <w:jc w:val="both"/>
      </w:pPr>
      <w:r w:rsidRPr="009511D6">
        <w:t xml:space="preserve">Una vez reconocida la corrección valorativa por deterioro o su reversión, se ajustan las amortizaciones de los ejercicios siguientes considerando el nuevo valor contable. </w:t>
      </w:r>
    </w:p>
    <w:p w:rsidR="0074309A" w:rsidRDefault="007C3FEA" w:rsidP="009511D6">
      <w:pPr>
        <w:jc w:val="both"/>
      </w:pPr>
      <w:r>
        <w:t>N</w:t>
      </w:r>
      <w:r w:rsidR="0074309A" w:rsidRPr="009511D6">
        <w:t>o obstante lo anterior, si de las circunstancias específicas de los activos se pone de manifiesto una pérdida de carácter irreversible, ésta se reconoce directamente en pérdidas procedentes del inmovilizado de la cuenta de pérdidas y ganancias</w:t>
      </w:r>
      <w:r>
        <w:t>.</w:t>
      </w:r>
      <w:r w:rsidR="0074309A" w:rsidRPr="009511D6">
        <w:t xml:space="preserve"> </w:t>
      </w:r>
    </w:p>
    <w:p w:rsidR="00F3331D" w:rsidRDefault="00F3331D" w:rsidP="009511D6">
      <w:pPr>
        <w:jc w:val="both"/>
      </w:pPr>
      <w:r>
        <w:t xml:space="preserve">Durante el ejercicio 2017 la </w:t>
      </w:r>
      <w:r w:rsidR="0055248C">
        <w:t>Sociedad</w:t>
      </w:r>
      <w:r>
        <w:t xml:space="preserve"> no ha registrado pérdidas por deterioro de los inmovilizados materiales.</w:t>
      </w:r>
    </w:p>
    <w:p w:rsidR="00F3331D" w:rsidRPr="00F3331D" w:rsidRDefault="00310282" w:rsidP="00F3331D">
      <w:pPr>
        <w:pStyle w:val="Default"/>
        <w:jc w:val="both"/>
        <w:rPr>
          <w:rFonts w:asciiTheme="minorHAnsi" w:hAnsiTheme="minorHAnsi"/>
          <w:b/>
          <w:bCs/>
          <w:sz w:val="22"/>
          <w:szCs w:val="20"/>
          <w:u w:val="single"/>
        </w:rPr>
      </w:pPr>
      <w:r>
        <w:rPr>
          <w:rFonts w:asciiTheme="minorHAnsi" w:hAnsiTheme="minorHAnsi"/>
          <w:b/>
          <w:bCs/>
          <w:sz w:val="22"/>
          <w:szCs w:val="20"/>
          <w:u w:val="single"/>
        </w:rPr>
        <w:t>3</w:t>
      </w:r>
      <w:r w:rsidR="00F3331D" w:rsidRPr="00F3331D">
        <w:rPr>
          <w:rFonts w:asciiTheme="minorHAnsi" w:hAnsiTheme="minorHAnsi"/>
          <w:b/>
          <w:bCs/>
          <w:sz w:val="22"/>
          <w:szCs w:val="20"/>
          <w:u w:val="single"/>
        </w:rPr>
        <w:t xml:space="preserve">.3 Inversiones inmobiliarias </w:t>
      </w:r>
    </w:p>
    <w:p w:rsidR="00F3331D" w:rsidRPr="00F3331D" w:rsidRDefault="00F3331D" w:rsidP="00F3331D">
      <w:pPr>
        <w:pStyle w:val="Default"/>
        <w:jc w:val="both"/>
        <w:rPr>
          <w:rFonts w:asciiTheme="minorHAnsi" w:hAnsiTheme="minorHAnsi"/>
          <w:b/>
          <w:bCs/>
          <w:sz w:val="22"/>
          <w:szCs w:val="20"/>
        </w:rPr>
      </w:pPr>
    </w:p>
    <w:p w:rsidR="00F3331D" w:rsidRPr="00F3331D" w:rsidRDefault="00F3331D" w:rsidP="00F3331D">
      <w:pPr>
        <w:jc w:val="both"/>
      </w:pPr>
      <w:r w:rsidRPr="00F3331D">
        <w:t xml:space="preserve">Durante el ejercicio, no se han contemplado activos considerados como inversiones inmobiliarias. </w:t>
      </w:r>
    </w:p>
    <w:p w:rsidR="00F3331D" w:rsidRDefault="00310282" w:rsidP="00F3331D">
      <w:pPr>
        <w:pStyle w:val="Default"/>
        <w:jc w:val="both"/>
        <w:rPr>
          <w:rFonts w:asciiTheme="minorHAnsi" w:hAnsiTheme="minorHAnsi"/>
          <w:b/>
          <w:bCs/>
          <w:sz w:val="22"/>
          <w:szCs w:val="20"/>
          <w:u w:val="single"/>
        </w:rPr>
      </w:pPr>
      <w:r>
        <w:rPr>
          <w:rFonts w:asciiTheme="minorHAnsi" w:hAnsiTheme="minorHAnsi"/>
          <w:b/>
          <w:bCs/>
          <w:sz w:val="22"/>
          <w:szCs w:val="20"/>
          <w:u w:val="single"/>
        </w:rPr>
        <w:t>3</w:t>
      </w:r>
      <w:r w:rsidR="00F3331D" w:rsidRPr="00F3331D">
        <w:rPr>
          <w:rFonts w:asciiTheme="minorHAnsi" w:hAnsiTheme="minorHAnsi"/>
          <w:b/>
          <w:bCs/>
          <w:sz w:val="22"/>
          <w:szCs w:val="20"/>
          <w:u w:val="single"/>
        </w:rPr>
        <w:t xml:space="preserve">.4 Instrumentos financieros </w:t>
      </w:r>
    </w:p>
    <w:p w:rsidR="00F3331D" w:rsidRPr="00F3331D" w:rsidRDefault="00F3331D" w:rsidP="00F3331D">
      <w:pPr>
        <w:pStyle w:val="Default"/>
        <w:jc w:val="both"/>
        <w:rPr>
          <w:rFonts w:asciiTheme="minorHAnsi" w:hAnsiTheme="minorHAnsi"/>
          <w:b/>
          <w:bCs/>
          <w:sz w:val="22"/>
          <w:szCs w:val="20"/>
          <w:u w:val="single"/>
        </w:rPr>
      </w:pPr>
    </w:p>
    <w:p w:rsidR="00F3331D" w:rsidRPr="00F3331D" w:rsidRDefault="00F3331D" w:rsidP="00F3331D">
      <w:pPr>
        <w:jc w:val="both"/>
        <w:rPr>
          <w:u w:val="single"/>
        </w:rPr>
      </w:pPr>
      <w:r w:rsidRPr="00F3331D">
        <w:rPr>
          <w:u w:val="single"/>
        </w:rPr>
        <w:t xml:space="preserve">Activos financieros y pasivos financieros. </w:t>
      </w:r>
    </w:p>
    <w:p w:rsidR="00F3331D" w:rsidRPr="00F3331D" w:rsidRDefault="00F3331D" w:rsidP="00F3331D">
      <w:pPr>
        <w:jc w:val="both"/>
      </w:pPr>
      <w:r w:rsidRPr="00F3331D">
        <w:t xml:space="preserve">La </w:t>
      </w:r>
      <w:r w:rsidR="0055248C">
        <w:t>Sociedad</w:t>
      </w:r>
      <w:r w:rsidRPr="00F3331D">
        <w:t xml:space="preserve">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 </w:t>
      </w:r>
    </w:p>
    <w:p w:rsidR="00F3331D" w:rsidRPr="00F3331D" w:rsidRDefault="00F3331D" w:rsidP="00F3331D">
      <w:pPr>
        <w:jc w:val="both"/>
      </w:pPr>
      <w:r w:rsidRPr="00F3331D">
        <w:t xml:space="preserve">a) Activos financieros: </w:t>
      </w:r>
    </w:p>
    <w:p w:rsidR="00F3331D" w:rsidRDefault="00F3331D" w:rsidP="00F3331D">
      <w:pPr>
        <w:jc w:val="both"/>
      </w:pPr>
      <w:r>
        <w:t xml:space="preserve">- </w:t>
      </w:r>
      <w:r w:rsidRPr="00F3331D">
        <w:t xml:space="preserve">Efectivo y otros activos líquidos equivalentes. </w:t>
      </w:r>
    </w:p>
    <w:p w:rsidR="00F3331D" w:rsidRPr="00F3331D" w:rsidRDefault="00F3331D" w:rsidP="00F3331D">
      <w:pPr>
        <w:jc w:val="both"/>
      </w:pPr>
      <w:r>
        <w:t xml:space="preserve">- </w:t>
      </w:r>
      <w:r w:rsidRPr="00F3331D">
        <w:t xml:space="preserve">Créditos por operaciones comerciales: clientes y deudores varios; </w:t>
      </w:r>
    </w:p>
    <w:p w:rsidR="00F3331D" w:rsidRPr="00F3331D" w:rsidRDefault="00F3331D" w:rsidP="00F3331D">
      <w:pPr>
        <w:jc w:val="both"/>
      </w:pPr>
      <w:r>
        <w:t xml:space="preserve">- </w:t>
      </w:r>
      <w:r w:rsidRPr="00F3331D">
        <w:t xml:space="preserve">Créditos a terceros: tales como los préstamos y créditos financieros concedidos, incluidos los surgidos de la venta de activos no corrientes; </w:t>
      </w:r>
    </w:p>
    <w:p w:rsidR="00F3331D" w:rsidRDefault="00F3331D" w:rsidP="00F3331D">
      <w:pPr>
        <w:jc w:val="both"/>
      </w:pPr>
      <w:r>
        <w:t xml:space="preserve">- </w:t>
      </w:r>
      <w:r w:rsidRPr="00F3331D">
        <w:t xml:space="preserve">Valores representativos de deuda de otras empresas adquiridos: tales como las </w:t>
      </w:r>
      <w:r>
        <w:t xml:space="preserve">obligaciones, bonos y pagarés; </w:t>
      </w:r>
    </w:p>
    <w:p w:rsidR="00F3331D" w:rsidRPr="00F3331D" w:rsidRDefault="00F3331D" w:rsidP="00F3331D">
      <w:pPr>
        <w:jc w:val="both"/>
      </w:pPr>
      <w:r>
        <w:t xml:space="preserve">- </w:t>
      </w:r>
      <w:r w:rsidRPr="00F3331D">
        <w:t xml:space="preserve">Instrumentos de patrimonio de otras empresas adquiridos: acciones, participaciones en instituciones de inversión colectiva y otros instrumentos de patrimonio; </w:t>
      </w:r>
    </w:p>
    <w:p w:rsidR="00F3331D" w:rsidRPr="00F3331D" w:rsidRDefault="00F3331D" w:rsidP="00F3331D">
      <w:pPr>
        <w:jc w:val="both"/>
      </w:pPr>
      <w:r>
        <w:lastRenderedPageBreak/>
        <w:t xml:space="preserve">- </w:t>
      </w:r>
      <w:r w:rsidRPr="00F3331D">
        <w:t xml:space="preserve">Derivados con valoración favorable para la empresa: entre ellos, futuros, opciones, permutas financieras y compraventa de moneda extranjera a plazo, y </w:t>
      </w:r>
    </w:p>
    <w:p w:rsidR="00F3331D" w:rsidRPr="00F3331D" w:rsidRDefault="00F3331D" w:rsidP="00F3331D">
      <w:pPr>
        <w:jc w:val="both"/>
      </w:pPr>
      <w:r>
        <w:t xml:space="preserve">- </w:t>
      </w:r>
      <w:r w:rsidRPr="00F3331D">
        <w:t xml:space="preserve">Otros activos financieros: tales como depósitos en entidades de crédito, anticipos y créditos al personal, fianzas y depósitos constituidos, dividendos a cobrar y desembolsos exigidos sobre instrumentos de patrimonio propio. </w:t>
      </w:r>
    </w:p>
    <w:p w:rsidR="00F3331D" w:rsidRPr="00F3331D" w:rsidRDefault="00F3331D" w:rsidP="00F3331D">
      <w:pPr>
        <w:jc w:val="both"/>
      </w:pPr>
      <w:r w:rsidRPr="00F3331D">
        <w:t xml:space="preserve">b) Pasivos financieros: </w:t>
      </w:r>
    </w:p>
    <w:p w:rsidR="00F3331D" w:rsidRPr="00F3331D" w:rsidRDefault="00F3331D" w:rsidP="00F3331D">
      <w:pPr>
        <w:jc w:val="both"/>
      </w:pPr>
      <w:r>
        <w:t xml:space="preserve">- </w:t>
      </w:r>
      <w:r w:rsidRPr="00F3331D">
        <w:t xml:space="preserve">Débitos por operaciones comerciales: proveedores y acreedores varios; </w:t>
      </w:r>
    </w:p>
    <w:p w:rsidR="00F3331D" w:rsidRPr="00F3331D" w:rsidRDefault="00F3331D" w:rsidP="00F3331D">
      <w:pPr>
        <w:jc w:val="both"/>
      </w:pPr>
      <w:r>
        <w:t xml:space="preserve">- </w:t>
      </w:r>
      <w:r w:rsidRPr="00F3331D">
        <w:t xml:space="preserve">Deudas con entidades de crédito; </w:t>
      </w:r>
    </w:p>
    <w:p w:rsidR="00F3331D" w:rsidRPr="00F3331D" w:rsidRDefault="00F3331D" w:rsidP="00F3331D">
      <w:pPr>
        <w:jc w:val="both"/>
      </w:pPr>
      <w:r>
        <w:t xml:space="preserve">- </w:t>
      </w:r>
      <w:r w:rsidRPr="00F3331D">
        <w:t xml:space="preserve">Obligaciones y otros valores negociables emitidos: tales como bonos y pagarés; </w:t>
      </w:r>
    </w:p>
    <w:p w:rsidR="00F3331D" w:rsidRPr="00F3331D" w:rsidRDefault="00F3331D" w:rsidP="00F3331D">
      <w:pPr>
        <w:jc w:val="both"/>
      </w:pPr>
      <w:r>
        <w:t xml:space="preserve">- </w:t>
      </w:r>
      <w:r w:rsidRPr="00F3331D">
        <w:t xml:space="preserve">Derivados con valoración desfavorable para la empresa: entre ellos, futuros, opciones, permutas financieras y compraventa de moneda extranjera a plazo; </w:t>
      </w:r>
    </w:p>
    <w:p w:rsidR="00F3331D" w:rsidRPr="00F3331D" w:rsidRDefault="00F3331D" w:rsidP="00F3331D">
      <w:pPr>
        <w:jc w:val="both"/>
      </w:pPr>
      <w:r>
        <w:t xml:space="preserve">- </w:t>
      </w:r>
      <w:r w:rsidRPr="00F3331D">
        <w:t xml:space="preserve">Deudas con características especiales, y </w:t>
      </w:r>
    </w:p>
    <w:p w:rsidR="00F3331D" w:rsidRPr="00F3331D" w:rsidRDefault="00F3331D" w:rsidP="00F3331D">
      <w:pPr>
        <w:jc w:val="both"/>
      </w:pPr>
      <w:r>
        <w:t xml:space="preserve">- </w:t>
      </w:r>
      <w:r w:rsidRPr="00F3331D">
        <w:t xml:space="preserve">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 </w:t>
      </w:r>
    </w:p>
    <w:p w:rsidR="00F3331D" w:rsidRDefault="00F3331D" w:rsidP="00F3331D">
      <w:pPr>
        <w:jc w:val="both"/>
      </w:pPr>
      <w:r w:rsidRPr="00F3331D">
        <w:t xml:space="preserve">c) Instrumentos de patrimonio propio: todos los instrumentos financieros que se incluyen dentro de los fondos propios, tal como las acciones ordinarias emitidas </w:t>
      </w:r>
    </w:p>
    <w:p w:rsidR="00F3331D" w:rsidRPr="00F3331D" w:rsidRDefault="00F3331D" w:rsidP="00F3331D">
      <w:pPr>
        <w:jc w:val="both"/>
        <w:rPr>
          <w:sz w:val="2"/>
        </w:rPr>
      </w:pPr>
    </w:p>
    <w:p w:rsidR="00F3331D" w:rsidRPr="00F3331D" w:rsidRDefault="00310282" w:rsidP="00F3331D">
      <w:pPr>
        <w:jc w:val="both"/>
        <w:rPr>
          <w:u w:val="single"/>
        </w:rPr>
      </w:pPr>
      <w:r>
        <w:rPr>
          <w:u w:val="single"/>
        </w:rPr>
        <w:t>3</w:t>
      </w:r>
      <w:r w:rsidR="00F3331D" w:rsidRPr="00F3331D">
        <w:rPr>
          <w:u w:val="single"/>
        </w:rPr>
        <w:t xml:space="preserve">.4.1 Inversiones financieras a largo y corto plazo </w:t>
      </w:r>
    </w:p>
    <w:p w:rsidR="00F3331D" w:rsidRPr="00F3331D" w:rsidRDefault="00F3331D" w:rsidP="00F3331D">
      <w:pPr>
        <w:jc w:val="both"/>
      </w:pPr>
      <w:r w:rsidRPr="00F3331D">
        <w:t xml:space="preserve">Préstamos y cuentas por cobrar: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w:t>
      </w:r>
      <w:r w:rsidR="0055248C">
        <w:t>Sociedad</w:t>
      </w:r>
      <w:r w:rsidRPr="00F3331D">
        <w:t xml:space="preserve"> registra los correspondientes deterioros por la diferencia existente entre el importe a recuperar de las cuentas por cobrar y el valor en libros por el que se encuentran registradas. </w:t>
      </w:r>
    </w:p>
    <w:p w:rsidR="00F3331D" w:rsidRPr="00F3331D" w:rsidRDefault="00F3331D" w:rsidP="00F3331D">
      <w:pPr>
        <w:jc w:val="both"/>
      </w:pPr>
      <w:r w:rsidRPr="00F3331D">
        <w:t xml:space="preserve">Inversiones mantenidas hasta su vencimiento: </w:t>
      </w:r>
      <w:proofErr w:type="gramStart"/>
      <w:r w:rsidRPr="00F3331D">
        <w:t>aquellos valores representativos de deuda, con una fecha de vencimiento fijada</w:t>
      </w:r>
      <w:proofErr w:type="gramEnd"/>
      <w:r w:rsidRPr="00F3331D">
        <w:t xml:space="preserve">, cobros de cuantía determinada o determinable, que se negocien en un mercado activo y que la </w:t>
      </w:r>
      <w:r w:rsidR="005A4951">
        <w:t>Sociedad</w:t>
      </w:r>
      <w:r w:rsidRPr="00F3331D">
        <w:t xml:space="preserve"> tiene intención y capacidad de conservar hasta su vencimiento. Se contabilizan a su coste amortizado.  </w:t>
      </w:r>
    </w:p>
    <w:p w:rsidR="00F3331D" w:rsidRPr="00F3331D" w:rsidRDefault="00F3331D" w:rsidP="00F3331D">
      <w:pPr>
        <w:jc w:val="both"/>
      </w:pPr>
      <w:r w:rsidRPr="00F3331D">
        <w:t xml:space="preserve">Activos financieros registrados a valor razonable con cambios en resultados </w:t>
      </w:r>
    </w:p>
    <w:p w:rsidR="00F3331D" w:rsidRPr="00F3331D" w:rsidRDefault="00F3331D" w:rsidP="00F3331D">
      <w:pPr>
        <w:jc w:val="both"/>
      </w:pPr>
      <w:r w:rsidRPr="00F3331D">
        <w:t xml:space="preserve">La </w:t>
      </w:r>
      <w:r w:rsidR="0055248C">
        <w:t>Sociedad</w:t>
      </w:r>
      <w:r w:rsidRPr="00F3331D">
        <w:t xml:space="preserve"> clasifica los activos y pasivos financieros a valor razonable con cambios en la cuenta de pérdidas y ganancias en el momento de su reconocimiento inicial sólo si: </w:t>
      </w:r>
    </w:p>
    <w:p w:rsidR="00F3331D" w:rsidRPr="00F3331D" w:rsidRDefault="00F3331D" w:rsidP="00B87356">
      <w:pPr>
        <w:pStyle w:val="Prrafodelista"/>
        <w:numPr>
          <w:ilvl w:val="0"/>
          <w:numId w:val="2"/>
        </w:numPr>
        <w:jc w:val="both"/>
      </w:pPr>
      <w:r w:rsidRPr="00F3331D">
        <w:t xml:space="preserve">con ello se elimina o reduce significativamente la no correlación contable entre activos y pasivos financieros o </w:t>
      </w:r>
    </w:p>
    <w:p w:rsidR="00F3331D" w:rsidRPr="00F3331D" w:rsidRDefault="00F3331D" w:rsidP="00B87356">
      <w:pPr>
        <w:pStyle w:val="Prrafodelista"/>
        <w:numPr>
          <w:ilvl w:val="0"/>
          <w:numId w:val="2"/>
        </w:numPr>
        <w:jc w:val="both"/>
      </w:pPr>
      <w:r w:rsidRPr="00F3331D">
        <w:t xml:space="preserve">el rendimiento de un grupo de activos financieros, pasivos financieros o de ambos, se gestiona y evalúa según el criterio de valor razonable, de acuerdo con la estrategia documentada de inversión o de gestión del riesgo de la </w:t>
      </w:r>
      <w:r w:rsidR="005A4951">
        <w:t>Sociedad</w:t>
      </w:r>
      <w:r w:rsidRPr="00F3331D">
        <w:t xml:space="preserve">. </w:t>
      </w:r>
    </w:p>
    <w:p w:rsidR="00F3331D" w:rsidRPr="00F3331D" w:rsidRDefault="00F3331D" w:rsidP="00F3331D">
      <w:pPr>
        <w:jc w:val="both"/>
      </w:pPr>
      <w:r w:rsidRPr="00F3331D">
        <w:lastRenderedPageBreak/>
        <w:t xml:space="preserve">También se clasifican en esta categoría los activos y pasivos financieros con derivados implícitos, que son tratados como instrumentos financieros híbridos, bien porque han sido designados como tales por la </w:t>
      </w:r>
      <w:r w:rsidR="0055248C">
        <w:t>Sociedad</w:t>
      </w:r>
      <w:r w:rsidRPr="00F3331D">
        <w:t xml:space="preserve">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 </w:t>
      </w:r>
    </w:p>
    <w:p w:rsidR="00F3331D" w:rsidRPr="00F3331D" w:rsidRDefault="00F3331D" w:rsidP="00F3331D">
      <w:pPr>
        <w:jc w:val="both"/>
      </w:pPr>
      <w:r w:rsidRPr="00F3331D">
        <w:t xml:space="preserve">La </w:t>
      </w:r>
      <w:r w:rsidR="0055248C">
        <w:t>Sociedad</w:t>
      </w:r>
      <w:r w:rsidRPr="00F3331D">
        <w:t xml:space="preserve"> no reclasifica ningún activo o pasivo financiero de o a esta categoría mientras esté reconocido en el balance de situación, salvo cuando proceda calificar el activo como inversión en empresas del grupo, asociadas o </w:t>
      </w:r>
      <w:proofErr w:type="spellStart"/>
      <w:r w:rsidRPr="00F3331D">
        <w:t>multigrupo</w:t>
      </w:r>
      <w:proofErr w:type="spellEnd"/>
      <w:r w:rsidRPr="00F3331D">
        <w:t xml:space="preserve">. </w:t>
      </w:r>
    </w:p>
    <w:p w:rsidR="00F3331D" w:rsidRPr="00F3331D" w:rsidRDefault="00F3331D" w:rsidP="00F3331D">
      <w:pPr>
        <w:jc w:val="both"/>
      </w:pPr>
      <w:r w:rsidRPr="00F3331D">
        <w:t xml:space="preserve">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w:t>
      </w:r>
      <w:r w:rsidR="005A4951">
        <w:t>Sociedades</w:t>
      </w:r>
      <w:r w:rsidRPr="00F3331D">
        <w:t xml:space="preserve"> no cotizadas, normalmente el valor de mercado no es posible determinarlo de manera fiable por lo que, cuando se da esta circunstancia, se valoran por su coste de adquisición o por un importe inferior si existe evidencia de su deterioro. </w:t>
      </w:r>
    </w:p>
    <w:p w:rsidR="00F3331D" w:rsidRPr="00B87356" w:rsidRDefault="00F3331D" w:rsidP="00F3331D">
      <w:pPr>
        <w:jc w:val="both"/>
        <w:rPr>
          <w:u w:val="single"/>
        </w:rPr>
      </w:pPr>
      <w:r w:rsidRPr="00B87356">
        <w:rPr>
          <w:u w:val="single"/>
        </w:rPr>
        <w:t xml:space="preserve">Intereses y dividendos recibidos de activos financieros </w:t>
      </w:r>
    </w:p>
    <w:p w:rsidR="00F3331D" w:rsidRPr="00F3331D" w:rsidRDefault="00F3331D" w:rsidP="00F3331D">
      <w:pPr>
        <w:jc w:val="both"/>
      </w:pPr>
      <w:r w:rsidRPr="00F3331D">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w:t>
      </w:r>
      <w:r w:rsidR="005A4951">
        <w:t>Sociedad</w:t>
      </w:r>
      <w:r w:rsidRPr="00F3331D">
        <w:t xml:space="preserve"> a su percepción. </w:t>
      </w:r>
    </w:p>
    <w:p w:rsidR="00F3331D" w:rsidRPr="00F3331D" w:rsidRDefault="00F3331D" w:rsidP="00F3331D">
      <w:pPr>
        <w:jc w:val="both"/>
      </w:pPr>
      <w:r w:rsidRPr="00F3331D">
        <w:t xml:space="preserve">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 </w:t>
      </w:r>
    </w:p>
    <w:p w:rsidR="00F3331D" w:rsidRPr="00F3331D" w:rsidRDefault="00F3331D" w:rsidP="00F3331D">
      <w:pPr>
        <w:jc w:val="both"/>
      </w:pPr>
      <w:r w:rsidRPr="00F3331D">
        <w:t xml:space="preserve">Baja de activos financieros </w:t>
      </w:r>
    </w:p>
    <w:p w:rsidR="00F3331D" w:rsidRPr="00F3331D" w:rsidRDefault="00F3331D" w:rsidP="00F3331D">
      <w:pPr>
        <w:jc w:val="both"/>
      </w:pPr>
      <w:r w:rsidRPr="00F3331D">
        <w:t xml:space="preserve">La </w:t>
      </w:r>
      <w:r w:rsidR="0055248C">
        <w:t>Sociedad</w:t>
      </w:r>
      <w:r w:rsidRPr="00F3331D">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 </w:t>
      </w:r>
    </w:p>
    <w:p w:rsidR="00F3331D" w:rsidRPr="00F3331D" w:rsidRDefault="00F3331D" w:rsidP="00F3331D">
      <w:pPr>
        <w:jc w:val="both"/>
      </w:pPr>
      <w:r w:rsidRPr="00F3331D">
        <w:t xml:space="preserve">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 </w:t>
      </w:r>
    </w:p>
    <w:p w:rsidR="00F3331D" w:rsidRPr="00F3331D" w:rsidRDefault="00F3331D" w:rsidP="00F3331D">
      <w:pPr>
        <w:jc w:val="both"/>
      </w:pPr>
      <w:r w:rsidRPr="00F3331D">
        <w:t xml:space="preserve">Por el contrario, la </w:t>
      </w:r>
      <w:r w:rsidR="008F5982">
        <w:t>Sociedad</w:t>
      </w:r>
      <w:r w:rsidRPr="00F3331D">
        <w:t xml:space="preserve"> no da de baja los activos financieros, y reconoce un pasivo financiero por un importe igual a la contraprestación recibida, en las cesiones de activos financieros en las que se retenga sustancialmente los riesgos y beneficios inherentes a su propiedad. </w:t>
      </w:r>
    </w:p>
    <w:p w:rsidR="0074309A" w:rsidRPr="00B87356" w:rsidRDefault="00310282" w:rsidP="00B87356">
      <w:pPr>
        <w:jc w:val="both"/>
        <w:rPr>
          <w:u w:val="single"/>
        </w:rPr>
      </w:pPr>
      <w:r>
        <w:rPr>
          <w:u w:val="single"/>
        </w:rPr>
        <w:lastRenderedPageBreak/>
        <w:t>3</w:t>
      </w:r>
      <w:r w:rsidR="0074309A" w:rsidRPr="00B87356">
        <w:rPr>
          <w:u w:val="single"/>
        </w:rPr>
        <w:t xml:space="preserve">.4.2 Pasivos financieros </w:t>
      </w:r>
    </w:p>
    <w:p w:rsidR="0074309A" w:rsidRPr="00B87356" w:rsidRDefault="0074309A" w:rsidP="00B87356">
      <w:pPr>
        <w:jc w:val="both"/>
      </w:pPr>
      <w:r w:rsidRPr="00B87356">
        <w:t xml:space="preserve">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 </w:t>
      </w:r>
    </w:p>
    <w:p w:rsidR="0074309A" w:rsidRPr="00B87356" w:rsidRDefault="0074309A" w:rsidP="00B87356">
      <w:pPr>
        <w:jc w:val="both"/>
      </w:pPr>
      <w:r w:rsidRPr="00B87356">
        <w:t xml:space="preserve">Las cuentas a pagar se registran inicialmente a su coste de mercado y posteriormente son valoradas al coste amortizado utilizando el método de la tasa de interés efectivo. </w:t>
      </w:r>
    </w:p>
    <w:p w:rsidR="0074309A" w:rsidRPr="00B87356" w:rsidRDefault="0074309A" w:rsidP="00B87356">
      <w:pPr>
        <w:jc w:val="both"/>
        <w:rPr>
          <w:u w:val="single"/>
        </w:rPr>
      </w:pPr>
      <w:r w:rsidRPr="00B87356">
        <w:rPr>
          <w:u w:val="single"/>
        </w:rPr>
        <w:t xml:space="preserve">Fianzas entregadas </w:t>
      </w:r>
    </w:p>
    <w:p w:rsidR="0074309A" w:rsidRPr="00B87356" w:rsidRDefault="0074309A" w:rsidP="00B87356">
      <w:pPr>
        <w:jc w:val="both"/>
      </w:pPr>
      <w:r w:rsidRPr="00B87356">
        <w:t xml:space="preserve">Los depósitos o fianzas constituidas en garantía de determinadas obligaciones, se valoran por el importe efectivamente satisfecho, que no difiere significativamente de su valor razonable. </w:t>
      </w:r>
    </w:p>
    <w:p w:rsidR="0074309A" w:rsidRPr="00B87356" w:rsidRDefault="0074309A" w:rsidP="00B87356">
      <w:pPr>
        <w:jc w:val="both"/>
        <w:rPr>
          <w:u w:val="single"/>
        </w:rPr>
      </w:pPr>
      <w:r w:rsidRPr="00B87356">
        <w:rPr>
          <w:u w:val="single"/>
        </w:rPr>
        <w:t xml:space="preserve">Valor razonable </w:t>
      </w:r>
    </w:p>
    <w:p w:rsidR="0074309A" w:rsidRPr="00B87356" w:rsidRDefault="0074309A" w:rsidP="00B87356">
      <w:pPr>
        <w:jc w:val="both"/>
      </w:pPr>
      <w:r w:rsidRPr="00B87356">
        <w:t xml:space="preserve">El valor razonable es el importe por el que puede ser intercambiado un activo o liquidado un pasivo, entre partes interesadas y debidamente informadas, que realicen una transacción en condiciones de independencia mutua. </w:t>
      </w:r>
    </w:p>
    <w:p w:rsidR="0074309A" w:rsidRPr="00B87356" w:rsidRDefault="0074309A" w:rsidP="00B87356">
      <w:pPr>
        <w:jc w:val="both"/>
      </w:pPr>
      <w:r w:rsidRPr="00B87356">
        <w:t xml:space="preserve">Con carácter general, en la valoración de instrumentos financieros valorados a valor razonable, la </w:t>
      </w:r>
      <w:r w:rsidR="008F5982">
        <w:t>Sociedad</w:t>
      </w:r>
      <w:r w:rsidRPr="00B87356">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 </w:t>
      </w:r>
    </w:p>
    <w:p w:rsidR="0074309A" w:rsidRPr="00B87356" w:rsidRDefault="0074309A" w:rsidP="00B87356">
      <w:pPr>
        <w:jc w:val="both"/>
      </w:pPr>
      <w:r w:rsidRPr="00B87356">
        <w:t xml:space="preserve">Se asume que el valor en libros de los créditos y débitos por operaciones comerciales se aproxima a su valor razonable. </w:t>
      </w:r>
    </w:p>
    <w:p w:rsidR="0074309A" w:rsidRPr="00B87356" w:rsidRDefault="00310282" w:rsidP="00B87356">
      <w:pPr>
        <w:jc w:val="both"/>
        <w:rPr>
          <w:u w:val="single"/>
        </w:rPr>
      </w:pPr>
      <w:r>
        <w:rPr>
          <w:u w:val="single"/>
        </w:rPr>
        <w:t>3</w:t>
      </w:r>
      <w:r w:rsidR="0074309A" w:rsidRPr="00B87356">
        <w:rPr>
          <w:u w:val="single"/>
        </w:rPr>
        <w:t xml:space="preserve">.4.3 Inversiones en empresas del grupo, </w:t>
      </w:r>
      <w:proofErr w:type="spellStart"/>
      <w:r w:rsidR="0074309A" w:rsidRPr="00B87356">
        <w:rPr>
          <w:u w:val="single"/>
        </w:rPr>
        <w:t>multigrupo</w:t>
      </w:r>
      <w:proofErr w:type="spellEnd"/>
      <w:r w:rsidR="0074309A" w:rsidRPr="00B87356">
        <w:rPr>
          <w:u w:val="single"/>
        </w:rPr>
        <w:t xml:space="preserve"> y asociadas </w:t>
      </w:r>
    </w:p>
    <w:p w:rsidR="0074309A" w:rsidRPr="00B87356" w:rsidRDefault="0074309A" w:rsidP="00B87356">
      <w:pPr>
        <w:jc w:val="both"/>
      </w:pPr>
      <w:r w:rsidRPr="00B87356">
        <w:t xml:space="preserve">Las inversiones en empresas del grupo, </w:t>
      </w:r>
      <w:proofErr w:type="spellStart"/>
      <w:r w:rsidRPr="00B87356">
        <w:t>multigrupo</w:t>
      </w:r>
      <w:proofErr w:type="spellEnd"/>
      <w:r w:rsidRPr="00B87356">
        <w:t xml:space="preserve"> y asociadas, se valoran inicialmente por su coste, que equivale al valor razonable de la contraprestación entregada más los costes de transacción. </w:t>
      </w:r>
    </w:p>
    <w:p w:rsidR="0074309A" w:rsidRPr="00B87356" w:rsidRDefault="0074309A" w:rsidP="00B87356">
      <w:pPr>
        <w:jc w:val="both"/>
      </w:pPr>
      <w:r w:rsidRPr="00B87356">
        <w:t xml:space="preserve">Al menos al cierre del ejercicio, la </w:t>
      </w:r>
      <w:r w:rsidR="008F5982">
        <w:t>Sociedad</w:t>
      </w:r>
      <w:r w:rsidRPr="00B87356">
        <w:t xml:space="preserve"> procede a evaluar si ha existido deterioro de valor de las inversiones. Las correcciones valorativas por deterioro y en su caso la reversión, se llevan como gasto o ingreso, respectivamente, en la cuenta de pérdidas y ganancias. </w:t>
      </w:r>
    </w:p>
    <w:p w:rsidR="0074309A" w:rsidRDefault="0074309A" w:rsidP="00B87356">
      <w:pPr>
        <w:jc w:val="both"/>
      </w:pPr>
      <w:r w:rsidRPr="00B87356">
        <w:t xml:space="preserve">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w:t>
      </w:r>
      <w:r w:rsidR="00B87356">
        <w:t xml:space="preserve"> </w:t>
      </w:r>
      <w:r>
        <w:t xml:space="preserve">consideración el patrimonio neto de la Entidad participada corregido por las plusvalías tácitas existentes en la fecha de la valoración. </w:t>
      </w:r>
    </w:p>
    <w:p w:rsidR="0074309A" w:rsidRDefault="0074309A" w:rsidP="001D7F29">
      <w:pPr>
        <w:jc w:val="both"/>
      </w:pPr>
      <w:r w:rsidRPr="001D7F29">
        <w:lastRenderedPageBreak/>
        <w:t xml:space="preserve">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 </w:t>
      </w:r>
    </w:p>
    <w:p w:rsidR="008F5982" w:rsidRDefault="008F5982" w:rsidP="008F5982">
      <w:pPr>
        <w:jc w:val="both"/>
        <w:rPr>
          <w:b/>
          <w:u w:val="single"/>
        </w:rPr>
      </w:pPr>
      <w:r>
        <w:rPr>
          <w:b/>
          <w:u w:val="single"/>
        </w:rPr>
        <w:t>3</w:t>
      </w:r>
      <w:r w:rsidRPr="001D7F29">
        <w:rPr>
          <w:b/>
          <w:u w:val="single"/>
        </w:rPr>
        <w:t xml:space="preserve">.5 </w:t>
      </w:r>
      <w:r>
        <w:rPr>
          <w:b/>
          <w:u w:val="single"/>
        </w:rPr>
        <w:t>Impuestos sobre beneficios</w:t>
      </w:r>
    </w:p>
    <w:p w:rsidR="008F5982" w:rsidRPr="00AA10DB" w:rsidRDefault="008F5982" w:rsidP="00AA10DB">
      <w:pPr>
        <w:jc w:val="both"/>
      </w:pPr>
      <w:r w:rsidRPr="00AA10DB">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8F5982" w:rsidRPr="00AA10DB" w:rsidRDefault="008F5982" w:rsidP="00AA10DB">
      <w:pPr>
        <w:jc w:val="both"/>
      </w:pPr>
      <w:r w:rsidRPr="00AA10DB">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8F5982" w:rsidRPr="00AA10DB" w:rsidRDefault="008F5982" w:rsidP="00AA10DB">
      <w:pPr>
        <w:jc w:val="both"/>
      </w:pPr>
      <w:r w:rsidRPr="00AA10DB">
        <w:t>Los activos por impuestos diferidos surgen, igualmente, como consecuencia de las bases imponibles negativas pendientes de compensar y de los créditos por deducciones fiscales generadas y no aplicadas.</w:t>
      </w:r>
    </w:p>
    <w:p w:rsidR="008F5982" w:rsidRPr="00AA10DB" w:rsidRDefault="008F5982" w:rsidP="00AA10DB">
      <w:pPr>
        <w:jc w:val="both"/>
      </w:pPr>
      <w:r w:rsidRPr="00AA10DB">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8F5982" w:rsidRPr="00AA10DB" w:rsidRDefault="008F5982" w:rsidP="00AA10DB">
      <w:pPr>
        <w:jc w:val="both"/>
      </w:pPr>
      <w:r w:rsidRPr="00AA10DB">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8F5982" w:rsidRPr="00AA10DB" w:rsidRDefault="008F5982" w:rsidP="00AA10DB">
      <w:pPr>
        <w:jc w:val="both"/>
      </w:pPr>
      <w:r w:rsidRPr="00AA10DB">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8F5982" w:rsidRPr="00AA10DB" w:rsidRDefault="008F5982" w:rsidP="00AA10DB">
      <w:pPr>
        <w:jc w:val="both"/>
      </w:pPr>
      <w:r w:rsidRPr="00AA10DB">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w:t>
      </w:r>
      <w:r w:rsidR="00AA10DB">
        <w:t xml:space="preserve"> </w:t>
      </w:r>
      <w:r w:rsidRPr="00AA10DB">
        <w:t xml:space="preserve">neto que pueda resultar de la contabilización de aquellas deducciones y otras ventajas fiscales que tengan la naturaleza económica de subvención. </w:t>
      </w:r>
    </w:p>
    <w:p w:rsidR="0074309A" w:rsidRPr="001D7F29" w:rsidRDefault="008F5982" w:rsidP="001D7F29">
      <w:pPr>
        <w:jc w:val="both"/>
        <w:rPr>
          <w:b/>
          <w:u w:val="single"/>
        </w:rPr>
      </w:pPr>
      <w:r w:rsidRPr="00AA10DB">
        <w:t xml:space="preserve"> </w:t>
      </w:r>
      <w:r w:rsidR="00310282">
        <w:rPr>
          <w:b/>
          <w:u w:val="single"/>
        </w:rPr>
        <w:t>3</w:t>
      </w:r>
      <w:r w:rsidR="0074309A" w:rsidRPr="001D7F29">
        <w:rPr>
          <w:b/>
          <w:u w:val="single"/>
        </w:rPr>
        <w:t>.</w:t>
      </w:r>
      <w:r w:rsidR="00DC3C61">
        <w:rPr>
          <w:b/>
          <w:u w:val="single"/>
        </w:rPr>
        <w:t>6</w:t>
      </w:r>
      <w:r w:rsidR="0074309A" w:rsidRPr="001D7F29">
        <w:rPr>
          <w:b/>
          <w:u w:val="single"/>
        </w:rPr>
        <w:t xml:space="preserve"> Ingresos y gastos </w:t>
      </w:r>
    </w:p>
    <w:p w:rsidR="0074309A" w:rsidRPr="001D7F29" w:rsidRDefault="0074309A" w:rsidP="001D7F29">
      <w:pPr>
        <w:jc w:val="both"/>
      </w:pPr>
      <w:r w:rsidRPr="001D7F29">
        <w:t xml:space="preserve">Los ingresos y gastos se imputan en función del criterio del devengo con independencia del momento en que se produce la corriente monetaria o financiera derivada de ellos. </w:t>
      </w:r>
    </w:p>
    <w:p w:rsidR="0074309A" w:rsidRPr="001D7F29" w:rsidRDefault="0074309A" w:rsidP="001D7F29">
      <w:pPr>
        <w:jc w:val="both"/>
      </w:pPr>
      <w:r w:rsidRPr="001D7F29">
        <w:lastRenderedPageBreak/>
        <w:t xml:space="preserve">No obstante, la </w:t>
      </w:r>
      <w:r w:rsidR="005A4951">
        <w:t>Sociedad</w:t>
      </w:r>
      <w:r w:rsidRPr="001D7F29">
        <w:t xml:space="preserve"> únicamente contabiliza los beneficios realizados a la fecha de cierre del ejercicio, en tanto que los riesgos y las pérdidas previsibles, aun siendo eventuales, se contabilizan tan pronto son conocidos. </w:t>
      </w:r>
    </w:p>
    <w:p w:rsidR="0074309A" w:rsidRPr="001D7F29" w:rsidRDefault="0074309A" w:rsidP="001D7F29">
      <w:pPr>
        <w:jc w:val="both"/>
      </w:pPr>
      <w:r w:rsidRPr="001D7F29">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w:t>
      </w:r>
      <w:r w:rsidR="005A4951">
        <w:t>Sociedad</w:t>
      </w:r>
      <w:r w:rsidRPr="001D7F29">
        <w:t xml:space="preserve"> incluye los intereses incorporados a los créditos comerciales con vencimiento no superior a un año que no tienen un tipo de interés contractual, cuando el efecto de no actualizar los flujos de efectivo no es significativo. </w:t>
      </w:r>
    </w:p>
    <w:p w:rsidR="0074309A" w:rsidRPr="001D7F29" w:rsidRDefault="0074309A" w:rsidP="001D7F29">
      <w:pPr>
        <w:jc w:val="both"/>
      </w:pPr>
      <w:r w:rsidRPr="001D7F29">
        <w:t xml:space="preserve">Los descuentos concedidos a clientes se reconocen en el momento en que es probable que se van a cumplir las condiciones que determinan su concesión como una reducción de los ingresos por ventas. </w:t>
      </w:r>
    </w:p>
    <w:p w:rsidR="0074309A" w:rsidRPr="001D7F29" w:rsidRDefault="0074309A" w:rsidP="001D7F29">
      <w:pPr>
        <w:jc w:val="both"/>
      </w:pPr>
      <w:r w:rsidRPr="001D7F29">
        <w:t xml:space="preserve">Los anticipos a cuenta de ventas futuras figuran valorados por el valor recibido. </w:t>
      </w:r>
    </w:p>
    <w:p w:rsidR="0074309A" w:rsidRPr="001D7F29" w:rsidRDefault="00310282" w:rsidP="001D7F29">
      <w:pPr>
        <w:jc w:val="both"/>
        <w:rPr>
          <w:b/>
          <w:u w:val="single"/>
        </w:rPr>
      </w:pPr>
      <w:r>
        <w:rPr>
          <w:b/>
          <w:u w:val="single"/>
        </w:rPr>
        <w:t>3</w:t>
      </w:r>
      <w:r w:rsidR="0074309A" w:rsidRPr="001D7F29">
        <w:rPr>
          <w:b/>
          <w:u w:val="single"/>
        </w:rPr>
        <w:t>.</w:t>
      </w:r>
      <w:r w:rsidR="00DC3C61">
        <w:rPr>
          <w:b/>
          <w:u w:val="single"/>
        </w:rPr>
        <w:t>7</w:t>
      </w:r>
      <w:r w:rsidR="0074309A" w:rsidRPr="001D7F29">
        <w:rPr>
          <w:b/>
          <w:u w:val="single"/>
        </w:rPr>
        <w:t xml:space="preserve"> Gastos de personal </w:t>
      </w:r>
    </w:p>
    <w:p w:rsidR="00DC3C61" w:rsidRPr="00DC3C61" w:rsidRDefault="00DC3C61" w:rsidP="00DC3C61">
      <w:pPr>
        <w:jc w:val="both"/>
      </w:pPr>
      <w:r w:rsidRPr="00DC3C61">
        <w:t xml:space="preserve">Para el caso de las retribuciones por prestación definida las contribuciones a realizar dan lugar a un pasivo por retribuciones a largo plazo al personal cuando, al cierre del ejercicio, figuren contribuciones devengadas no satisfechas. </w:t>
      </w:r>
    </w:p>
    <w:p w:rsidR="00DC3C61" w:rsidRPr="00DC3C61" w:rsidRDefault="00DC3C61" w:rsidP="00DC3C61">
      <w:pPr>
        <w:jc w:val="both"/>
      </w:pPr>
      <w:r w:rsidRPr="00DC3C61">
        <w:t xml:space="preserve">El importe que se reconoce como provisión por retribuciones al personal a largo plazo es la diferencia entre el valor actual de las retribuciones comprometidas y el valor razonable de los eventuales activos afectos a los compromisos con los que se liquidarán las obligaciones. </w:t>
      </w:r>
    </w:p>
    <w:p w:rsidR="00DC3C61" w:rsidRPr="00DC3C61" w:rsidRDefault="00DC3C61" w:rsidP="00DC3C61">
      <w:pPr>
        <w:jc w:val="both"/>
      </w:pPr>
      <w:r w:rsidRPr="00DC3C61">
        <w:t xml:space="preserve">Excepto en el caso de causa justificada, las sociedades vienen obligadas a indemnizar a sus empleados cuando cesan en sus servicios. </w:t>
      </w:r>
    </w:p>
    <w:p w:rsidR="00DC3C61" w:rsidRPr="00DC3C61" w:rsidRDefault="00DC3C61" w:rsidP="00DC3C61">
      <w:pPr>
        <w:jc w:val="both"/>
      </w:pPr>
      <w:r w:rsidRPr="00DC3C61">
        <w:t xml:space="preserve">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 </w:t>
      </w:r>
    </w:p>
    <w:p w:rsidR="0074309A" w:rsidRPr="007D5393" w:rsidRDefault="00DC3C61" w:rsidP="00DC3C61">
      <w:pPr>
        <w:jc w:val="both"/>
        <w:rPr>
          <w:b/>
          <w:u w:val="single"/>
        </w:rPr>
      </w:pPr>
      <w:r w:rsidRPr="004E5CB0">
        <w:rPr>
          <w:rFonts w:cs="Arial"/>
          <w:sz w:val="20"/>
          <w:szCs w:val="20"/>
        </w:rPr>
        <w:t xml:space="preserve"> </w:t>
      </w:r>
      <w:r w:rsidR="00310282">
        <w:rPr>
          <w:b/>
          <w:u w:val="single"/>
        </w:rPr>
        <w:t>3</w:t>
      </w:r>
      <w:r w:rsidR="0074309A" w:rsidRPr="007D5393">
        <w:rPr>
          <w:b/>
          <w:u w:val="single"/>
        </w:rPr>
        <w:t>.</w:t>
      </w:r>
      <w:r w:rsidR="00186802">
        <w:rPr>
          <w:b/>
          <w:u w:val="single"/>
        </w:rPr>
        <w:t>8</w:t>
      </w:r>
      <w:r w:rsidR="0074309A" w:rsidRPr="007D5393">
        <w:rPr>
          <w:b/>
          <w:u w:val="single"/>
        </w:rPr>
        <w:t xml:space="preserve"> Subvenciones, donaciones y legados </w:t>
      </w:r>
    </w:p>
    <w:p w:rsidR="00186802" w:rsidRPr="00186802" w:rsidRDefault="00186802" w:rsidP="00186802">
      <w:pPr>
        <w:jc w:val="both"/>
      </w:pPr>
      <w:r w:rsidRPr="00186802">
        <w:t xml:space="preserve">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 </w:t>
      </w:r>
    </w:p>
    <w:p w:rsidR="00186802" w:rsidRPr="00186802" w:rsidRDefault="00186802" w:rsidP="00186802">
      <w:pPr>
        <w:jc w:val="both"/>
      </w:pPr>
      <w:r w:rsidRPr="00186802">
        <w:t xml:space="preserve">Mientras tienen el carácter de subvenciones reintegrables se contabilizan como deudas a largo plazo transformables en subvenciones. </w:t>
      </w:r>
    </w:p>
    <w:p w:rsidR="00186802" w:rsidRPr="00186802" w:rsidRDefault="00186802" w:rsidP="00186802">
      <w:pPr>
        <w:jc w:val="both"/>
      </w:pPr>
      <w:r w:rsidRPr="00186802">
        <w:t xml:space="preserve">Cuando las subvenciones se concedan para financiar gastos específicos se imputarán como ingresos en el ejercicio en que se devenguen los gastos que están financiando. </w:t>
      </w:r>
    </w:p>
    <w:p w:rsidR="009D319E" w:rsidRDefault="009D319E" w:rsidP="007D5393">
      <w:pPr>
        <w:jc w:val="both"/>
        <w:rPr>
          <w:b/>
          <w:u w:val="single"/>
        </w:rPr>
      </w:pPr>
    </w:p>
    <w:p w:rsidR="009D319E" w:rsidRDefault="009D319E" w:rsidP="007D5393">
      <w:pPr>
        <w:jc w:val="both"/>
        <w:rPr>
          <w:b/>
          <w:u w:val="single"/>
        </w:rPr>
      </w:pPr>
    </w:p>
    <w:p w:rsidR="0074309A" w:rsidRPr="007D5393" w:rsidRDefault="00310282" w:rsidP="007D5393">
      <w:pPr>
        <w:jc w:val="both"/>
        <w:rPr>
          <w:b/>
          <w:u w:val="single"/>
        </w:rPr>
      </w:pPr>
      <w:r>
        <w:rPr>
          <w:b/>
          <w:u w:val="single"/>
        </w:rPr>
        <w:lastRenderedPageBreak/>
        <w:t>3</w:t>
      </w:r>
      <w:r w:rsidR="0074309A" w:rsidRPr="007D5393">
        <w:rPr>
          <w:b/>
          <w:u w:val="single"/>
        </w:rPr>
        <w:t>.</w:t>
      </w:r>
      <w:r w:rsidR="00186802">
        <w:rPr>
          <w:b/>
          <w:u w:val="single"/>
        </w:rPr>
        <w:t>9</w:t>
      </w:r>
      <w:r w:rsidR="0074309A" w:rsidRPr="007D5393">
        <w:rPr>
          <w:b/>
          <w:u w:val="single"/>
        </w:rPr>
        <w:t xml:space="preserve"> Transacciones entre partes vinculadas </w:t>
      </w:r>
    </w:p>
    <w:p w:rsidR="00186802" w:rsidRPr="00186802" w:rsidRDefault="00186802" w:rsidP="00186802">
      <w:pPr>
        <w:jc w:val="both"/>
      </w:pPr>
      <w:r w:rsidRPr="00186802">
        <w:t xml:space="preserve">En el supuesto de existir, 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 </w:t>
      </w:r>
    </w:p>
    <w:p w:rsidR="00186802" w:rsidRPr="00186802" w:rsidRDefault="00186802" w:rsidP="00186802">
      <w:pPr>
        <w:jc w:val="both"/>
      </w:pPr>
      <w:r w:rsidRPr="00186802">
        <w:t xml:space="preserve">Esta norma de valoración afecta a las partes vinculadas que se explicitan en la Norma de elaboración de cuentas anuales 13ª del Plan General de Contabilidad. En este sentido: </w:t>
      </w:r>
    </w:p>
    <w:p w:rsidR="00186802" w:rsidRPr="00186802" w:rsidRDefault="00186802" w:rsidP="007656B2">
      <w:pPr>
        <w:ind w:firstLine="708"/>
        <w:jc w:val="both"/>
      </w:pPr>
      <w:r w:rsidRPr="00186802">
        <w:t xml:space="preserve">a) 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 </w:t>
      </w:r>
    </w:p>
    <w:p w:rsidR="00186802" w:rsidRPr="00186802" w:rsidRDefault="00186802" w:rsidP="007656B2">
      <w:pPr>
        <w:ind w:firstLine="708"/>
        <w:jc w:val="both"/>
      </w:pPr>
      <w:r w:rsidRPr="00186802">
        <w:t xml:space="preserve">b) 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 </w:t>
      </w:r>
    </w:p>
    <w:p w:rsidR="00186802" w:rsidRPr="00186802" w:rsidRDefault="00186802" w:rsidP="007656B2">
      <w:pPr>
        <w:ind w:firstLine="708"/>
        <w:jc w:val="both"/>
      </w:pPr>
      <w:r w:rsidRPr="00186802">
        <w:t xml:space="preserve">c) 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186802" w:rsidRPr="00186802" w:rsidRDefault="00186802" w:rsidP="00186802">
      <w:pPr>
        <w:jc w:val="both"/>
      </w:pPr>
      <w:r w:rsidRPr="00186802">
        <w:t xml:space="preserve">Se consideran partes vinculadas a la Sociedad, adicionalmente a las empresas del grupo, asociadas y </w:t>
      </w:r>
      <w:proofErr w:type="spellStart"/>
      <w:r w:rsidRPr="00186802">
        <w:t>multigrupo</w:t>
      </w:r>
      <w:proofErr w:type="spellEnd"/>
      <w:r w:rsidRPr="00186802">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ED31FE" w:rsidRDefault="00ED31FE" w:rsidP="008A0E1E"/>
    <w:p w:rsidR="001E5549" w:rsidRPr="008A0E1E" w:rsidRDefault="007656B2" w:rsidP="00990048">
      <w:pPr>
        <w:pStyle w:val="Ttulo4"/>
      </w:pPr>
      <w:r w:rsidRPr="008A0E1E">
        <w:t>4</w:t>
      </w:r>
      <w:r w:rsidR="00990048" w:rsidRPr="008A0E1E">
        <w:t>. INMOVILIZADO</w:t>
      </w:r>
      <w:r w:rsidR="00D37816" w:rsidRPr="008A0E1E">
        <w:t xml:space="preserve"> MATERIAL,</w:t>
      </w:r>
      <w:r w:rsidR="00990048" w:rsidRPr="008A0E1E">
        <w:t xml:space="preserve"> </w:t>
      </w:r>
      <w:r w:rsidRPr="008A0E1E">
        <w:t xml:space="preserve">INTANGIBLE </w:t>
      </w:r>
      <w:r w:rsidR="00990048" w:rsidRPr="008A0E1E">
        <w:t>E INVERSIONES INMOBILIARIAS</w:t>
      </w:r>
    </w:p>
    <w:p w:rsidR="00CC2A97" w:rsidRPr="00CC2A97" w:rsidRDefault="00CC2A97" w:rsidP="00CC2A97">
      <w:pPr>
        <w:rPr>
          <w:sz w:val="4"/>
        </w:rPr>
      </w:pPr>
    </w:p>
    <w:p w:rsidR="00D37816" w:rsidRPr="00D37816" w:rsidRDefault="00D37816" w:rsidP="00CC2A97">
      <w:pPr>
        <w:rPr>
          <w:u w:val="single"/>
        </w:rPr>
      </w:pPr>
      <w:bookmarkStart w:id="0" w:name="OLE_LINK1"/>
      <w:bookmarkStart w:id="1" w:name="OLE_LINK2"/>
      <w:r w:rsidRPr="00D37816">
        <w:rPr>
          <w:u w:val="single"/>
        </w:rPr>
        <w:t xml:space="preserve">Análisis del </w:t>
      </w:r>
      <w:r w:rsidR="00CC2A97" w:rsidRPr="00D37816">
        <w:rPr>
          <w:u w:val="single"/>
        </w:rPr>
        <w:t>movimiento</w:t>
      </w:r>
      <w:r w:rsidRPr="00D37816">
        <w:rPr>
          <w:u w:val="single"/>
        </w:rPr>
        <w:t xml:space="preserve"> del Inmovilizado Intangible</w:t>
      </w:r>
    </w:p>
    <w:p w:rsidR="009D319E" w:rsidRDefault="009D319E" w:rsidP="00CC2A97"/>
    <w:p w:rsidR="00CC2A97" w:rsidRDefault="00D37816" w:rsidP="00CC2A97">
      <w:r>
        <w:t xml:space="preserve">El movimiento </w:t>
      </w:r>
      <w:r w:rsidR="00CC2A97">
        <w:t>que ha habido durante este ejercicio es el siguiente:</w:t>
      </w:r>
    </w:p>
    <w:tbl>
      <w:tblPr>
        <w:tblW w:w="7330" w:type="dxa"/>
        <w:tblInd w:w="70" w:type="dxa"/>
        <w:tblCellMar>
          <w:left w:w="70" w:type="dxa"/>
          <w:right w:w="70" w:type="dxa"/>
        </w:tblCellMar>
        <w:tblLook w:val="04A0"/>
      </w:tblPr>
      <w:tblGrid>
        <w:gridCol w:w="2320"/>
        <w:gridCol w:w="1360"/>
        <w:gridCol w:w="1200"/>
        <w:gridCol w:w="1170"/>
        <w:gridCol w:w="1280"/>
      </w:tblGrid>
      <w:tr w:rsidR="007656B2" w:rsidRPr="007656B2" w:rsidTr="009D319E">
        <w:trPr>
          <w:trHeight w:val="300"/>
        </w:trPr>
        <w:tc>
          <w:tcPr>
            <w:tcW w:w="3680" w:type="dxa"/>
            <w:gridSpan w:val="2"/>
            <w:tcBorders>
              <w:top w:val="single" w:sz="4" w:space="0" w:color="auto"/>
              <w:left w:val="nil"/>
              <w:bottom w:val="nil"/>
              <w:right w:val="nil"/>
            </w:tcBorders>
            <w:shd w:val="clear" w:color="000000" w:fill="BFBFBF"/>
            <w:noWrap/>
            <w:vAlign w:val="center"/>
            <w:hideMark/>
          </w:tcPr>
          <w:bookmarkEnd w:id="0"/>
          <w:bookmarkEnd w:id="1"/>
          <w:p w:rsidR="007656B2" w:rsidRPr="007656B2" w:rsidRDefault="007656B2" w:rsidP="007656B2">
            <w:pPr>
              <w:spacing w:after="0" w:line="240" w:lineRule="auto"/>
              <w:rPr>
                <w:rFonts w:ascii="Calibri" w:eastAsia="Times New Roman" w:hAnsi="Calibri" w:cs="Times New Roman"/>
                <w:b/>
                <w:bCs/>
                <w:color w:val="000000"/>
                <w:sz w:val="20"/>
                <w:lang w:eastAsia="es-ES"/>
              </w:rPr>
            </w:pPr>
            <w:r w:rsidRPr="007656B2">
              <w:rPr>
                <w:rFonts w:ascii="Calibri" w:eastAsia="Times New Roman" w:hAnsi="Calibri" w:cs="Times New Roman"/>
                <w:b/>
                <w:bCs/>
                <w:color w:val="000000"/>
                <w:sz w:val="20"/>
                <w:lang w:eastAsia="es-ES"/>
              </w:rPr>
              <w:lastRenderedPageBreak/>
              <w:t>INMOVILIZADO INTANGIBLE</w:t>
            </w:r>
          </w:p>
        </w:tc>
        <w:tc>
          <w:tcPr>
            <w:tcW w:w="1200" w:type="dxa"/>
            <w:tcBorders>
              <w:top w:val="single" w:sz="4" w:space="0" w:color="auto"/>
              <w:left w:val="nil"/>
              <w:bottom w:val="nil"/>
              <w:right w:val="nil"/>
            </w:tcBorders>
            <w:shd w:val="clear" w:color="000000" w:fill="BFBFBF"/>
            <w:noWrap/>
            <w:vAlign w:val="center"/>
            <w:hideMark/>
          </w:tcPr>
          <w:p w:rsidR="007656B2" w:rsidRPr="007656B2" w:rsidRDefault="007656B2" w:rsidP="007656B2">
            <w:pPr>
              <w:spacing w:after="0" w:line="240" w:lineRule="auto"/>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 </w:t>
            </w:r>
          </w:p>
        </w:tc>
        <w:tc>
          <w:tcPr>
            <w:tcW w:w="1170" w:type="dxa"/>
            <w:tcBorders>
              <w:top w:val="single" w:sz="4" w:space="0" w:color="auto"/>
              <w:left w:val="nil"/>
              <w:bottom w:val="nil"/>
              <w:right w:val="nil"/>
            </w:tcBorders>
            <w:shd w:val="clear" w:color="000000" w:fill="BFBFBF"/>
            <w:noWrap/>
            <w:vAlign w:val="center"/>
            <w:hideMark/>
          </w:tcPr>
          <w:p w:rsidR="007656B2" w:rsidRPr="007656B2" w:rsidRDefault="007656B2" w:rsidP="007656B2">
            <w:pPr>
              <w:spacing w:after="0" w:line="240" w:lineRule="auto"/>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 </w:t>
            </w:r>
          </w:p>
        </w:tc>
        <w:tc>
          <w:tcPr>
            <w:tcW w:w="1280" w:type="dxa"/>
            <w:tcBorders>
              <w:top w:val="single" w:sz="4" w:space="0" w:color="auto"/>
              <w:left w:val="nil"/>
              <w:bottom w:val="nil"/>
              <w:right w:val="nil"/>
            </w:tcBorders>
            <w:shd w:val="clear" w:color="000000" w:fill="BFBFBF"/>
            <w:noWrap/>
            <w:vAlign w:val="center"/>
            <w:hideMark/>
          </w:tcPr>
          <w:p w:rsidR="007656B2" w:rsidRPr="007656B2" w:rsidRDefault="007656B2" w:rsidP="007656B2">
            <w:pPr>
              <w:spacing w:after="0" w:line="240" w:lineRule="auto"/>
              <w:jc w:val="center"/>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 </w:t>
            </w:r>
          </w:p>
        </w:tc>
      </w:tr>
      <w:tr w:rsidR="007656B2" w:rsidRPr="007656B2" w:rsidTr="009D319E">
        <w:trPr>
          <w:trHeight w:val="405"/>
        </w:trPr>
        <w:tc>
          <w:tcPr>
            <w:tcW w:w="2320" w:type="dxa"/>
            <w:tcBorders>
              <w:top w:val="nil"/>
              <w:left w:val="nil"/>
              <w:bottom w:val="single" w:sz="8" w:space="0" w:color="auto"/>
              <w:right w:val="nil"/>
            </w:tcBorders>
            <w:shd w:val="clear" w:color="000000" w:fill="BFBFBF"/>
            <w:noWrap/>
            <w:vAlign w:val="bottom"/>
            <w:hideMark/>
          </w:tcPr>
          <w:p w:rsidR="007656B2" w:rsidRPr="007656B2" w:rsidRDefault="007656B2" w:rsidP="007656B2">
            <w:pPr>
              <w:spacing w:after="0" w:line="240" w:lineRule="auto"/>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Descripción</w:t>
            </w:r>
          </w:p>
        </w:tc>
        <w:tc>
          <w:tcPr>
            <w:tcW w:w="1360" w:type="dxa"/>
            <w:tcBorders>
              <w:top w:val="nil"/>
              <w:left w:val="nil"/>
              <w:bottom w:val="single" w:sz="8" w:space="0" w:color="auto"/>
              <w:right w:val="nil"/>
            </w:tcBorders>
            <w:shd w:val="clear" w:color="000000" w:fill="BFBFBF"/>
            <w:noWrap/>
            <w:vAlign w:val="bottom"/>
            <w:hideMark/>
          </w:tcPr>
          <w:p w:rsidR="007656B2" w:rsidRPr="007656B2" w:rsidRDefault="007656B2" w:rsidP="007656B2">
            <w:pPr>
              <w:spacing w:after="0" w:line="240" w:lineRule="auto"/>
              <w:jc w:val="center"/>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Saldo Inicial</w:t>
            </w:r>
          </w:p>
        </w:tc>
        <w:tc>
          <w:tcPr>
            <w:tcW w:w="1200" w:type="dxa"/>
            <w:tcBorders>
              <w:top w:val="nil"/>
              <w:left w:val="nil"/>
              <w:bottom w:val="single" w:sz="8" w:space="0" w:color="auto"/>
              <w:right w:val="nil"/>
            </w:tcBorders>
            <w:shd w:val="clear" w:color="000000" w:fill="BFBFBF"/>
            <w:noWrap/>
            <w:vAlign w:val="bottom"/>
            <w:hideMark/>
          </w:tcPr>
          <w:p w:rsidR="007656B2" w:rsidRPr="007656B2" w:rsidRDefault="007656B2" w:rsidP="007656B2">
            <w:pPr>
              <w:spacing w:after="0" w:line="240" w:lineRule="auto"/>
              <w:jc w:val="center"/>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Aumentos</w:t>
            </w:r>
          </w:p>
        </w:tc>
        <w:tc>
          <w:tcPr>
            <w:tcW w:w="1170" w:type="dxa"/>
            <w:tcBorders>
              <w:top w:val="nil"/>
              <w:left w:val="nil"/>
              <w:bottom w:val="single" w:sz="8" w:space="0" w:color="auto"/>
              <w:right w:val="nil"/>
            </w:tcBorders>
            <w:shd w:val="clear" w:color="000000" w:fill="BFBFBF"/>
            <w:noWrap/>
            <w:vAlign w:val="bottom"/>
            <w:hideMark/>
          </w:tcPr>
          <w:p w:rsidR="007656B2" w:rsidRPr="007656B2" w:rsidRDefault="007656B2" w:rsidP="007656B2">
            <w:pPr>
              <w:spacing w:after="0" w:line="240" w:lineRule="auto"/>
              <w:jc w:val="center"/>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Disminución</w:t>
            </w:r>
          </w:p>
        </w:tc>
        <w:tc>
          <w:tcPr>
            <w:tcW w:w="1280" w:type="dxa"/>
            <w:tcBorders>
              <w:top w:val="nil"/>
              <w:left w:val="nil"/>
              <w:bottom w:val="single" w:sz="8" w:space="0" w:color="auto"/>
              <w:right w:val="nil"/>
            </w:tcBorders>
            <w:shd w:val="clear" w:color="000000" w:fill="BFBFBF"/>
            <w:noWrap/>
            <w:vAlign w:val="bottom"/>
            <w:hideMark/>
          </w:tcPr>
          <w:p w:rsidR="007656B2" w:rsidRPr="007656B2" w:rsidRDefault="007656B2" w:rsidP="007656B2">
            <w:pPr>
              <w:spacing w:after="0" w:line="240" w:lineRule="auto"/>
              <w:jc w:val="center"/>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 xml:space="preserve">Saldo Final </w:t>
            </w:r>
          </w:p>
        </w:tc>
      </w:tr>
      <w:tr w:rsidR="007656B2" w:rsidRPr="007656B2" w:rsidTr="009D319E">
        <w:trPr>
          <w:trHeight w:val="435"/>
        </w:trPr>
        <w:tc>
          <w:tcPr>
            <w:tcW w:w="2320" w:type="dxa"/>
            <w:tcBorders>
              <w:top w:val="nil"/>
              <w:left w:val="nil"/>
              <w:bottom w:val="nil"/>
              <w:right w:val="nil"/>
            </w:tcBorders>
            <w:shd w:val="clear" w:color="auto" w:fill="auto"/>
            <w:noWrap/>
            <w:vAlign w:val="bottom"/>
            <w:hideMark/>
          </w:tcPr>
          <w:p w:rsidR="007656B2" w:rsidRPr="007656B2" w:rsidRDefault="007656B2" w:rsidP="00D37816">
            <w:pPr>
              <w:spacing w:after="0" w:line="240" w:lineRule="auto"/>
              <w:rPr>
                <w:rFonts w:ascii="Calibri" w:eastAsia="Times New Roman" w:hAnsi="Calibri" w:cs="Times New Roman"/>
                <w:b/>
                <w:bCs/>
                <w:color w:val="000000"/>
                <w:sz w:val="20"/>
                <w:lang w:eastAsia="es-ES"/>
              </w:rPr>
            </w:pPr>
            <w:r w:rsidRPr="007656B2">
              <w:rPr>
                <w:rFonts w:ascii="Calibri" w:eastAsia="Times New Roman" w:hAnsi="Calibri" w:cs="Times New Roman"/>
                <w:b/>
                <w:bCs/>
                <w:color w:val="000000"/>
                <w:sz w:val="20"/>
                <w:lang w:eastAsia="es-ES"/>
              </w:rPr>
              <w:t>Inmov</w:t>
            </w:r>
            <w:r w:rsidR="00D37816">
              <w:rPr>
                <w:rFonts w:ascii="Calibri" w:eastAsia="Times New Roman" w:hAnsi="Calibri" w:cs="Times New Roman"/>
                <w:b/>
                <w:bCs/>
                <w:color w:val="000000"/>
                <w:sz w:val="20"/>
                <w:lang w:eastAsia="es-ES"/>
              </w:rPr>
              <w:t>ilizado</w:t>
            </w:r>
            <w:r w:rsidRPr="007656B2">
              <w:rPr>
                <w:rFonts w:ascii="Calibri" w:eastAsia="Times New Roman" w:hAnsi="Calibri" w:cs="Times New Roman"/>
                <w:b/>
                <w:bCs/>
                <w:color w:val="000000"/>
                <w:sz w:val="20"/>
                <w:lang w:eastAsia="es-ES"/>
              </w:rPr>
              <w:t xml:space="preserve">  Intangible </w:t>
            </w: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11.210,76</w:t>
            </w: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0,00</w:t>
            </w: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11.210,76</w:t>
            </w:r>
          </w:p>
        </w:tc>
      </w:tr>
      <w:tr w:rsidR="007656B2" w:rsidRPr="007656B2" w:rsidTr="009D319E">
        <w:trPr>
          <w:trHeight w:val="255"/>
        </w:trPr>
        <w:tc>
          <w:tcPr>
            <w:tcW w:w="232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rPr>
                <w:rFonts w:ascii="Times New Roman" w:eastAsia="Times New Roman" w:hAnsi="Times New Roman" w:cs="Times New Roman"/>
                <w:sz w:val="20"/>
                <w:szCs w:val="20"/>
                <w:lang w:eastAsia="es-ES"/>
              </w:rPr>
            </w:pP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r>
      <w:tr w:rsidR="007656B2" w:rsidRPr="007656B2" w:rsidTr="009D319E">
        <w:trPr>
          <w:trHeight w:val="303"/>
        </w:trPr>
        <w:tc>
          <w:tcPr>
            <w:tcW w:w="232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rPr>
                <w:rFonts w:ascii="Calibri" w:eastAsia="Times New Roman" w:hAnsi="Calibri" w:cs="Times New Roman"/>
                <w:color w:val="000000"/>
                <w:sz w:val="20"/>
                <w:szCs w:val="20"/>
                <w:lang w:eastAsia="es-ES"/>
              </w:rPr>
            </w:pPr>
            <w:r w:rsidRPr="007656B2">
              <w:rPr>
                <w:rFonts w:ascii="Calibri" w:eastAsia="Times New Roman" w:hAnsi="Calibri" w:cs="Times New Roman"/>
                <w:color w:val="000000"/>
                <w:sz w:val="20"/>
                <w:szCs w:val="20"/>
                <w:lang w:eastAsia="es-ES"/>
              </w:rPr>
              <w:t>Aplicaciones Informáticas</w:t>
            </w: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color w:val="000000"/>
                <w:sz w:val="20"/>
                <w:szCs w:val="20"/>
                <w:lang w:eastAsia="es-ES"/>
              </w:rPr>
            </w:pPr>
            <w:r w:rsidRPr="007656B2">
              <w:rPr>
                <w:rFonts w:ascii="Calibri" w:eastAsia="Times New Roman" w:hAnsi="Calibri" w:cs="Times New Roman"/>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color w:val="000000"/>
                <w:sz w:val="20"/>
                <w:szCs w:val="20"/>
                <w:lang w:eastAsia="es-ES"/>
              </w:rPr>
            </w:pPr>
            <w:r w:rsidRPr="007656B2">
              <w:rPr>
                <w:rFonts w:ascii="Calibri" w:eastAsia="Times New Roman" w:hAnsi="Calibri" w:cs="Times New Roman"/>
                <w:color w:val="000000"/>
                <w:sz w:val="20"/>
                <w:szCs w:val="20"/>
                <w:lang w:eastAsia="es-ES"/>
              </w:rPr>
              <w:t>11.210,76</w:t>
            </w: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color w:val="000000"/>
                <w:sz w:val="20"/>
                <w:szCs w:val="20"/>
                <w:lang w:eastAsia="es-ES"/>
              </w:rPr>
            </w:pP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11.210,76</w:t>
            </w:r>
          </w:p>
        </w:tc>
      </w:tr>
      <w:tr w:rsidR="007656B2" w:rsidRPr="007656B2" w:rsidTr="009D319E">
        <w:trPr>
          <w:trHeight w:val="255"/>
        </w:trPr>
        <w:tc>
          <w:tcPr>
            <w:tcW w:w="232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center"/>
              <w:rPr>
                <w:rFonts w:ascii="Times New Roman" w:eastAsia="Times New Roman" w:hAnsi="Times New Roman" w:cs="Times New Roman"/>
                <w:sz w:val="20"/>
                <w:szCs w:val="20"/>
                <w:lang w:eastAsia="es-ES"/>
              </w:rPr>
            </w:pPr>
          </w:p>
        </w:tc>
      </w:tr>
      <w:tr w:rsidR="007656B2" w:rsidRPr="007656B2" w:rsidTr="009D319E">
        <w:trPr>
          <w:trHeight w:val="255"/>
        </w:trPr>
        <w:tc>
          <w:tcPr>
            <w:tcW w:w="232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Amortización Acumulada</w:t>
            </w: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-3.021,30</w:t>
            </w: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0,00</w:t>
            </w: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-3.021,30</w:t>
            </w:r>
          </w:p>
        </w:tc>
      </w:tr>
      <w:tr w:rsidR="007656B2" w:rsidRPr="007656B2" w:rsidTr="009D319E">
        <w:trPr>
          <w:trHeight w:val="255"/>
        </w:trPr>
        <w:tc>
          <w:tcPr>
            <w:tcW w:w="232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center"/>
              <w:rPr>
                <w:rFonts w:ascii="Times New Roman" w:eastAsia="Times New Roman" w:hAnsi="Times New Roman" w:cs="Times New Roman"/>
                <w:sz w:val="20"/>
                <w:szCs w:val="20"/>
                <w:lang w:eastAsia="es-ES"/>
              </w:rPr>
            </w:pPr>
          </w:p>
        </w:tc>
      </w:tr>
      <w:tr w:rsidR="007656B2" w:rsidRPr="007656B2" w:rsidTr="009D319E">
        <w:trPr>
          <w:trHeight w:val="255"/>
        </w:trPr>
        <w:tc>
          <w:tcPr>
            <w:tcW w:w="2320" w:type="dxa"/>
            <w:tcBorders>
              <w:top w:val="nil"/>
              <w:left w:val="nil"/>
              <w:bottom w:val="nil"/>
              <w:right w:val="nil"/>
            </w:tcBorders>
            <w:shd w:val="clear" w:color="auto" w:fill="auto"/>
            <w:vAlign w:val="bottom"/>
            <w:hideMark/>
          </w:tcPr>
          <w:p w:rsidR="007656B2" w:rsidRPr="007656B2" w:rsidRDefault="007656B2" w:rsidP="007656B2">
            <w:pPr>
              <w:spacing w:after="0" w:line="240" w:lineRule="auto"/>
              <w:rPr>
                <w:rFonts w:ascii="Calibri" w:eastAsia="Times New Roman" w:hAnsi="Calibri" w:cs="Times New Roman"/>
                <w:color w:val="000000"/>
                <w:sz w:val="20"/>
                <w:szCs w:val="20"/>
                <w:lang w:eastAsia="es-ES"/>
              </w:rPr>
            </w:pPr>
            <w:r w:rsidRPr="007656B2">
              <w:rPr>
                <w:rFonts w:ascii="Calibri" w:eastAsia="Times New Roman" w:hAnsi="Calibri" w:cs="Times New Roman"/>
                <w:color w:val="000000"/>
                <w:sz w:val="20"/>
                <w:szCs w:val="20"/>
                <w:lang w:eastAsia="es-ES"/>
              </w:rPr>
              <w:t>Aplicaciones Informáticas</w:t>
            </w: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color w:val="000000"/>
                <w:sz w:val="20"/>
                <w:szCs w:val="20"/>
                <w:lang w:eastAsia="es-ES"/>
              </w:rPr>
            </w:pPr>
            <w:r w:rsidRPr="007656B2">
              <w:rPr>
                <w:rFonts w:ascii="Calibri" w:eastAsia="Times New Roman" w:hAnsi="Calibri" w:cs="Times New Roman"/>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color w:val="000000"/>
                <w:sz w:val="20"/>
                <w:szCs w:val="20"/>
                <w:lang w:eastAsia="es-ES"/>
              </w:rPr>
            </w:pPr>
            <w:r w:rsidRPr="007656B2">
              <w:rPr>
                <w:rFonts w:ascii="Calibri" w:eastAsia="Times New Roman" w:hAnsi="Calibri" w:cs="Times New Roman"/>
                <w:color w:val="000000"/>
                <w:sz w:val="20"/>
                <w:szCs w:val="20"/>
                <w:lang w:eastAsia="es-ES"/>
              </w:rPr>
              <w:t>-3.021,30</w:t>
            </w: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color w:val="000000"/>
                <w:sz w:val="20"/>
                <w:szCs w:val="20"/>
                <w:lang w:eastAsia="es-ES"/>
              </w:rPr>
            </w:pP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-3.021,30</w:t>
            </w:r>
          </w:p>
        </w:tc>
      </w:tr>
      <w:tr w:rsidR="007656B2" w:rsidRPr="007656B2" w:rsidTr="009D319E">
        <w:trPr>
          <w:trHeight w:val="255"/>
        </w:trPr>
        <w:tc>
          <w:tcPr>
            <w:tcW w:w="232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c>
          <w:tcPr>
            <w:tcW w:w="117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right"/>
              <w:rPr>
                <w:rFonts w:ascii="Times New Roman" w:eastAsia="Times New Roman" w:hAnsi="Times New Roman" w:cs="Times New Roman"/>
                <w:sz w:val="20"/>
                <w:szCs w:val="20"/>
                <w:lang w:eastAsia="es-ES"/>
              </w:rPr>
            </w:pPr>
          </w:p>
        </w:tc>
        <w:tc>
          <w:tcPr>
            <w:tcW w:w="1280" w:type="dxa"/>
            <w:tcBorders>
              <w:top w:val="nil"/>
              <w:left w:val="nil"/>
              <w:bottom w:val="nil"/>
              <w:right w:val="nil"/>
            </w:tcBorders>
            <w:shd w:val="clear" w:color="auto" w:fill="auto"/>
            <w:noWrap/>
            <w:vAlign w:val="bottom"/>
            <w:hideMark/>
          </w:tcPr>
          <w:p w:rsidR="007656B2" w:rsidRPr="007656B2" w:rsidRDefault="007656B2" w:rsidP="007656B2">
            <w:pPr>
              <w:spacing w:after="0" w:line="240" w:lineRule="auto"/>
              <w:jc w:val="center"/>
              <w:rPr>
                <w:rFonts w:ascii="Times New Roman" w:eastAsia="Times New Roman" w:hAnsi="Times New Roman" w:cs="Times New Roman"/>
                <w:sz w:val="20"/>
                <w:szCs w:val="20"/>
                <w:lang w:eastAsia="es-ES"/>
              </w:rPr>
            </w:pPr>
          </w:p>
        </w:tc>
      </w:tr>
      <w:tr w:rsidR="007656B2" w:rsidRPr="007656B2" w:rsidTr="009D319E">
        <w:trPr>
          <w:trHeight w:val="270"/>
        </w:trPr>
        <w:tc>
          <w:tcPr>
            <w:tcW w:w="2320" w:type="dxa"/>
            <w:tcBorders>
              <w:top w:val="single" w:sz="4" w:space="0" w:color="auto"/>
              <w:left w:val="nil"/>
              <w:bottom w:val="single" w:sz="8" w:space="0" w:color="auto"/>
              <w:right w:val="nil"/>
            </w:tcBorders>
            <w:shd w:val="clear" w:color="auto" w:fill="auto"/>
            <w:noWrap/>
            <w:vAlign w:val="bottom"/>
            <w:hideMark/>
          </w:tcPr>
          <w:p w:rsidR="007656B2" w:rsidRPr="007656B2" w:rsidRDefault="007656B2" w:rsidP="007656B2">
            <w:pPr>
              <w:spacing w:after="0" w:line="240" w:lineRule="auto"/>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 xml:space="preserve">Valor neto contable </w:t>
            </w:r>
          </w:p>
        </w:tc>
        <w:tc>
          <w:tcPr>
            <w:tcW w:w="1360" w:type="dxa"/>
            <w:tcBorders>
              <w:top w:val="single" w:sz="4" w:space="0" w:color="auto"/>
              <w:left w:val="nil"/>
              <w:bottom w:val="single" w:sz="8" w:space="0" w:color="auto"/>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0,00</w:t>
            </w:r>
          </w:p>
        </w:tc>
        <w:tc>
          <w:tcPr>
            <w:tcW w:w="1200" w:type="dxa"/>
            <w:tcBorders>
              <w:top w:val="single" w:sz="4" w:space="0" w:color="auto"/>
              <w:left w:val="nil"/>
              <w:bottom w:val="single" w:sz="8" w:space="0" w:color="auto"/>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8.189,46</w:t>
            </w:r>
          </w:p>
        </w:tc>
        <w:tc>
          <w:tcPr>
            <w:tcW w:w="1170" w:type="dxa"/>
            <w:tcBorders>
              <w:top w:val="single" w:sz="4" w:space="0" w:color="auto"/>
              <w:left w:val="nil"/>
              <w:bottom w:val="single" w:sz="8" w:space="0" w:color="auto"/>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0,00</w:t>
            </w:r>
          </w:p>
        </w:tc>
        <w:tc>
          <w:tcPr>
            <w:tcW w:w="1280" w:type="dxa"/>
            <w:tcBorders>
              <w:top w:val="single" w:sz="4" w:space="0" w:color="auto"/>
              <w:left w:val="nil"/>
              <w:bottom w:val="single" w:sz="8" w:space="0" w:color="auto"/>
              <w:right w:val="nil"/>
            </w:tcBorders>
            <w:shd w:val="clear" w:color="auto" w:fill="auto"/>
            <w:noWrap/>
            <w:vAlign w:val="bottom"/>
            <w:hideMark/>
          </w:tcPr>
          <w:p w:rsidR="007656B2" w:rsidRPr="007656B2" w:rsidRDefault="007656B2" w:rsidP="007656B2">
            <w:pPr>
              <w:spacing w:after="0" w:line="240" w:lineRule="auto"/>
              <w:jc w:val="right"/>
              <w:rPr>
                <w:rFonts w:ascii="Calibri" w:eastAsia="Times New Roman" w:hAnsi="Calibri" w:cs="Times New Roman"/>
                <w:b/>
                <w:bCs/>
                <w:color w:val="000000"/>
                <w:sz w:val="20"/>
                <w:szCs w:val="20"/>
                <w:lang w:eastAsia="es-ES"/>
              </w:rPr>
            </w:pPr>
            <w:r w:rsidRPr="007656B2">
              <w:rPr>
                <w:rFonts w:ascii="Calibri" w:eastAsia="Times New Roman" w:hAnsi="Calibri" w:cs="Times New Roman"/>
                <w:b/>
                <w:bCs/>
                <w:color w:val="000000"/>
                <w:sz w:val="20"/>
                <w:szCs w:val="20"/>
                <w:lang w:eastAsia="es-ES"/>
              </w:rPr>
              <w:t>8.189,46</w:t>
            </w:r>
          </w:p>
        </w:tc>
      </w:tr>
    </w:tbl>
    <w:p w:rsidR="007656B2" w:rsidRDefault="007656B2" w:rsidP="00CC2A97"/>
    <w:p w:rsidR="00D37816" w:rsidRPr="00D37816" w:rsidRDefault="00D37816" w:rsidP="00D37816">
      <w:pPr>
        <w:rPr>
          <w:u w:val="single"/>
        </w:rPr>
      </w:pPr>
      <w:r w:rsidRPr="00D37816">
        <w:rPr>
          <w:u w:val="single"/>
        </w:rPr>
        <w:t xml:space="preserve">Análisis del movimiento del Inmovilizado </w:t>
      </w:r>
      <w:r>
        <w:rPr>
          <w:u w:val="single"/>
        </w:rPr>
        <w:t>Material</w:t>
      </w:r>
    </w:p>
    <w:p w:rsidR="00D37816" w:rsidRDefault="00D37816" w:rsidP="00D37816">
      <w:r>
        <w:t>El movimiento que ha habido durante este ejercicio es el siguiente:</w:t>
      </w:r>
    </w:p>
    <w:tbl>
      <w:tblPr>
        <w:tblW w:w="7440" w:type="dxa"/>
        <w:tblInd w:w="70" w:type="dxa"/>
        <w:tblCellMar>
          <w:left w:w="70" w:type="dxa"/>
          <w:right w:w="70" w:type="dxa"/>
        </w:tblCellMar>
        <w:tblLook w:val="04A0"/>
      </w:tblPr>
      <w:tblGrid>
        <w:gridCol w:w="2380"/>
        <w:gridCol w:w="1300"/>
        <w:gridCol w:w="1200"/>
        <w:gridCol w:w="1200"/>
        <w:gridCol w:w="1360"/>
      </w:tblGrid>
      <w:tr w:rsidR="00672CD2" w:rsidRPr="00672CD2" w:rsidTr="00672CD2">
        <w:trPr>
          <w:trHeight w:val="300"/>
        </w:trPr>
        <w:tc>
          <w:tcPr>
            <w:tcW w:w="3680" w:type="dxa"/>
            <w:gridSpan w:val="2"/>
            <w:tcBorders>
              <w:top w:val="single" w:sz="4" w:space="0" w:color="auto"/>
              <w:left w:val="nil"/>
              <w:bottom w:val="nil"/>
              <w:right w:val="nil"/>
            </w:tcBorders>
            <w:shd w:val="clear" w:color="000000" w:fill="BFBFBF"/>
            <w:noWrap/>
            <w:vAlign w:val="center"/>
            <w:hideMark/>
          </w:tcPr>
          <w:p w:rsidR="00672CD2" w:rsidRPr="00672CD2" w:rsidRDefault="00672CD2" w:rsidP="00672CD2">
            <w:pPr>
              <w:spacing w:after="0" w:line="240" w:lineRule="auto"/>
              <w:rPr>
                <w:rFonts w:ascii="Calibri" w:eastAsia="Times New Roman" w:hAnsi="Calibri" w:cs="Times New Roman"/>
                <w:b/>
                <w:bCs/>
                <w:color w:val="000000"/>
                <w:lang w:eastAsia="es-ES"/>
              </w:rPr>
            </w:pPr>
            <w:r w:rsidRPr="00672CD2">
              <w:rPr>
                <w:rFonts w:ascii="Calibri" w:eastAsia="Times New Roman" w:hAnsi="Calibri" w:cs="Times New Roman"/>
                <w:b/>
                <w:bCs/>
                <w:color w:val="000000"/>
                <w:lang w:eastAsia="es-ES"/>
              </w:rPr>
              <w:t xml:space="preserve">INMOVILIZADO MATERIAL </w:t>
            </w:r>
            <w:r w:rsidR="00306EBB">
              <w:rPr>
                <w:rFonts w:ascii="Calibri" w:eastAsia="Times New Roman" w:hAnsi="Calibri" w:cs="Times New Roman"/>
                <w:b/>
                <w:bCs/>
                <w:color w:val="000000"/>
                <w:lang w:eastAsia="es-ES"/>
              </w:rPr>
              <w:t>2017</w:t>
            </w:r>
          </w:p>
        </w:tc>
        <w:tc>
          <w:tcPr>
            <w:tcW w:w="1200" w:type="dxa"/>
            <w:tcBorders>
              <w:top w:val="single" w:sz="4" w:space="0" w:color="auto"/>
              <w:left w:val="nil"/>
              <w:bottom w:val="nil"/>
              <w:right w:val="nil"/>
            </w:tcBorders>
            <w:shd w:val="clear" w:color="000000" w:fill="BFBFBF"/>
            <w:noWrap/>
            <w:vAlign w:val="center"/>
            <w:hideMark/>
          </w:tcPr>
          <w:p w:rsidR="00672CD2" w:rsidRPr="00672CD2" w:rsidRDefault="00672CD2" w:rsidP="00672CD2">
            <w:pPr>
              <w:spacing w:after="0" w:line="240" w:lineRule="auto"/>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 </w:t>
            </w:r>
          </w:p>
        </w:tc>
        <w:tc>
          <w:tcPr>
            <w:tcW w:w="1200" w:type="dxa"/>
            <w:tcBorders>
              <w:top w:val="single" w:sz="4" w:space="0" w:color="auto"/>
              <w:left w:val="nil"/>
              <w:bottom w:val="nil"/>
              <w:right w:val="nil"/>
            </w:tcBorders>
            <w:shd w:val="clear" w:color="000000" w:fill="BFBFBF"/>
            <w:noWrap/>
            <w:vAlign w:val="center"/>
            <w:hideMark/>
          </w:tcPr>
          <w:p w:rsidR="00672CD2" w:rsidRPr="00672CD2" w:rsidRDefault="00672CD2" w:rsidP="00672CD2">
            <w:pPr>
              <w:spacing w:after="0" w:line="240" w:lineRule="auto"/>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 </w:t>
            </w:r>
          </w:p>
        </w:tc>
        <w:tc>
          <w:tcPr>
            <w:tcW w:w="1360" w:type="dxa"/>
            <w:tcBorders>
              <w:top w:val="single" w:sz="4" w:space="0" w:color="auto"/>
              <w:left w:val="nil"/>
              <w:bottom w:val="nil"/>
              <w:right w:val="nil"/>
            </w:tcBorders>
            <w:shd w:val="clear" w:color="000000" w:fill="BFBFBF"/>
            <w:noWrap/>
            <w:vAlign w:val="center"/>
            <w:hideMark/>
          </w:tcPr>
          <w:p w:rsidR="00672CD2" w:rsidRPr="00672CD2" w:rsidRDefault="00672CD2" w:rsidP="00672CD2">
            <w:pPr>
              <w:spacing w:after="0" w:line="240" w:lineRule="auto"/>
              <w:jc w:val="center"/>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 </w:t>
            </w:r>
          </w:p>
        </w:tc>
      </w:tr>
      <w:tr w:rsidR="00672CD2" w:rsidRPr="00672CD2" w:rsidTr="00672CD2">
        <w:trPr>
          <w:trHeight w:val="315"/>
        </w:trPr>
        <w:tc>
          <w:tcPr>
            <w:tcW w:w="2380" w:type="dxa"/>
            <w:tcBorders>
              <w:top w:val="nil"/>
              <w:left w:val="nil"/>
              <w:bottom w:val="single" w:sz="8" w:space="0" w:color="auto"/>
              <w:right w:val="nil"/>
            </w:tcBorders>
            <w:shd w:val="clear" w:color="000000" w:fill="BFBFBF"/>
            <w:noWrap/>
            <w:vAlign w:val="bottom"/>
            <w:hideMark/>
          </w:tcPr>
          <w:p w:rsidR="00672CD2" w:rsidRPr="00672CD2" w:rsidRDefault="00672CD2" w:rsidP="00672CD2">
            <w:pPr>
              <w:spacing w:after="0" w:line="240" w:lineRule="auto"/>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Descripción</w:t>
            </w:r>
          </w:p>
        </w:tc>
        <w:tc>
          <w:tcPr>
            <w:tcW w:w="1300" w:type="dxa"/>
            <w:tcBorders>
              <w:top w:val="nil"/>
              <w:left w:val="nil"/>
              <w:bottom w:val="single" w:sz="8" w:space="0" w:color="auto"/>
              <w:right w:val="nil"/>
            </w:tcBorders>
            <w:shd w:val="clear" w:color="000000" w:fill="BFBFBF"/>
            <w:noWrap/>
            <w:vAlign w:val="bottom"/>
            <w:hideMark/>
          </w:tcPr>
          <w:p w:rsidR="00672CD2" w:rsidRPr="00672CD2" w:rsidRDefault="00672CD2" w:rsidP="00672CD2">
            <w:pPr>
              <w:spacing w:after="0" w:line="240" w:lineRule="auto"/>
              <w:jc w:val="center"/>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Saldo Inicial</w:t>
            </w:r>
          </w:p>
        </w:tc>
        <w:tc>
          <w:tcPr>
            <w:tcW w:w="1200" w:type="dxa"/>
            <w:tcBorders>
              <w:top w:val="nil"/>
              <w:left w:val="nil"/>
              <w:bottom w:val="single" w:sz="8" w:space="0" w:color="auto"/>
              <w:right w:val="nil"/>
            </w:tcBorders>
            <w:shd w:val="clear" w:color="000000" w:fill="BFBFBF"/>
            <w:noWrap/>
            <w:vAlign w:val="bottom"/>
            <w:hideMark/>
          </w:tcPr>
          <w:p w:rsidR="00672CD2" w:rsidRPr="00672CD2" w:rsidRDefault="00672CD2" w:rsidP="00672CD2">
            <w:pPr>
              <w:spacing w:after="0" w:line="240" w:lineRule="auto"/>
              <w:jc w:val="center"/>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Aumentos</w:t>
            </w:r>
          </w:p>
        </w:tc>
        <w:tc>
          <w:tcPr>
            <w:tcW w:w="1200" w:type="dxa"/>
            <w:tcBorders>
              <w:top w:val="nil"/>
              <w:left w:val="nil"/>
              <w:bottom w:val="single" w:sz="8" w:space="0" w:color="auto"/>
              <w:right w:val="nil"/>
            </w:tcBorders>
            <w:shd w:val="clear" w:color="000000" w:fill="BFBFBF"/>
            <w:noWrap/>
            <w:vAlign w:val="bottom"/>
            <w:hideMark/>
          </w:tcPr>
          <w:p w:rsidR="00672CD2" w:rsidRPr="00672CD2" w:rsidRDefault="00672CD2" w:rsidP="00672CD2">
            <w:pPr>
              <w:spacing w:after="0" w:line="240" w:lineRule="auto"/>
              <w:jc w:val="center"/>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Disminución</w:t>
            </w:r>
          </w:p>
        </w:tc>
        <w:tc>
          <w:tcPr>
            <w:tcW w:w="1360" w:type="dxa"/>
            <w:tcBorders>
              <w:top w:val="nil"/>
              <w:left w:val="nil"/>
              <w:bottom w:val="single" w:sz="8" w:space="0" w:color="auto"/>
              <w:right w:val="nil"/>
            </w:tcBorders>
            <w:shd w:val="clear" w:color="000000" w:fill="BFBFBF"/>
            <w:noWrap/>
            <w:vAlign w:val="bottom"/>
            <w:hideMark/>
          </w:tcPr>
          <w:p w:rsidR="00672CD2" w:rsidRPr="00672CD2" w:rsidRDefault="00672CD2" w:rsidP="00672CD2">
            <w:pPr>
              <w:spacing w:after="0" w:line="240" w:lineRule="auto"/>
              <w:jc w:val="center"/>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 xml:space="preserve">Saldo Final </w:t>
            </w:r>
          </w:p>
        </w:tc>
      </w:tr>
      <w:tr w:rsidR="00672CD2" w:rsidRPr="00672CD2" w:rsidTr="00672CD2">
        <w:trPr>
          <w:trHeight w:val="465"/>
        </w:trPr>
        <w:tc>
          <w:tcPr>
            <w:tcW w:w="238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Inmovilizado Material</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238.104,84</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581.385,62</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163.988,71</w:t>
            </w:r>
          </w:p>
        </w:tc>
        <w:tc>
          <w:tcPr>
            <w:tcW w:w="1360" w:type="dxa"/>
            <w:tcBorders>
              <w:top w:val="nil"/>
              <w:left w:val="nil"/>
              <w:bottom w:val="nil"/>
              <w:right w:val="nil"/>
            </w:tcBorders>
            <w:shd w:val="clear" w:color="auto" w:fill="auto"/>
            <w:noWrap/>
            <w:vAlign w:val="bottom"/>
            <w:hideMark/>
          </w:tcPr>
          <w:p w:rsidR="00672CD2" w:rsidRPr="00672CD2" w:rsidRDefault="002D4834" w:rsidP="00672CD2">
            <w:pPr>
              <w:spacing w:after="0" w:line="240" w:lineRule="auto"/>
              <w:jc w:val="right"/>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655.53</w:t>
            </w:r>
            <w:r w:rsidR="00672CD2" w:rsidRPr="00672CD2">
              <w:rPr>
                <w:rFonts w:ascii="Calibri" w:eastAsia="Times New Roman" w:hAnsi="Calibri" w:cs="Times New Roman"/>
                <w:b/>
                <w:bCs/>
                <w:color w:val="000000"/>
                <w:sz w:val="20"/>
                <w:szCs w:val="20"/>
                <w:lang w:eastAsia="es-ES"/>
              </w:rPr>
              <w:t>1,75</w:t>
            </w:r>
          </w:p>
        </w:tc>
      </w:tr>
      <w:tr w:rsidR="00672CD2" w:rsidRPr="00672CD2" w:rsidTr="00672CD2">
        <w:trPr>
          <w:trHeight w:val="300"/>
        </w:trPr>
        <w:tc>
          <w:tcPr>
            <w:tcW w:w="238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Times New Roman" w:eastAsia="Times New Roman" w:hAnsi="Times New Roman" w:cs="Times New Roman"/>
                <w:sz w:val="20"/>
                <w:szCs w:val="20"/>
                <w:lang w:eastAsia="es-ES"/>
              </w:rPr>
            </w:pPr>
          </w:p>
        </w:tc>
      </w:tr>
      <w:tr w:rsidR="00672CD2" w:rsidRPr="00672CD2" w:rsidTr="00672CD2">
        <w:trPr>
          <w:trHeight w:val="300"/>
        </w:trPr>
        <w:tc>
          <w:tcPr>
            <w:tcW w:w="2380" w:type="dxa"/>
            <w:tcBorders>
              <w:top w:val="nil"/>
              <w:left w:val="nil"/>
              <w:bottom w:val="nil"/>
              <w:right w:val="nil"/>
            </w:tcBorders>
            <w:shd w:val="clear" w:color="auto" w:fill="auto"/>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Instalaciones Técnicas</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89.052,51</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201.706,66</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16.355,26</w:t>
            </w: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274.403,91</w:t>
            </w:r>
          </w:p>
        </w:tc>
      </w:tr>
      <w:tr w:rsidR="00672CD2" w:rsidRPr="00672CD2" w:rsidTr="00672CD2">
        <w:trPr>
          <w:trHeight w:val="300"/>
        </w:trPr>
        <w:tc>
          <w:tcPr>
            <w:tcW w:w="2380" w:type="dxa"/>
            <w:tcBorders>
              <w:top w:val="nil"/>
              <w:left w:val="nil"/>
              <w:bottom w:val="nil"/>
              <w:right w:val="nil"/>
            </w:tcBorders>
            <w:shd w:val="clear" w:color="auto" w:fill="auto"/>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Utillaje</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335,80</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335,80</w:t>
            </w:r>
          </w:p>
        </w:tc>
      </w:tr>
      <w:tr w:rsidR="00672CD2" w:rsidRPr="00672CD2" w:rsidTr="00672CD2">
        <w:trPr>
          <w:trHeight w:val="300"/>
        </w:trPr>
        <w:tc>
          <w:tcPr>
            <w:tcW w:w="2380" w:type="dxa"/>
            <w:tcBorders>
              <w:top w:val="nil"/>
              <w:left w:val="nil"/>
              <w:bottom w:val="nil"/>
              <w:right w:val="nil"/>
            </w:tcBorders>
            <w:shd w:val="clear" w:color="auto" w:fill="auto"/>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Otras Instalaciones</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109.020,39</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52.054,24</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161.074,63</w:t>
            </w:r>
          </w:p>
        </w:tc>
      </w:tr>
      <w:tr w:rsidR="00672CD2" w:rsidRPr="00672CD2" w:rsidTr="00672CD2">
        <w:trPr>
          <w:trHeight w:val="300"/>
        </w:trPr>
        <w:tc>
          <w:tcPr>
            <w:tcW w:w="2380" w:type="dxa"/>
            <w:tcBorders>
              <w:top w:val="nil"/>
              <w:left w:val="nil"/>
              <w:bottom w:val="nil"/>
              <w:right w:val="nil"/>
            </w:tcBorders>
            <w:shd w:val="clear" w:color="auto" w:fill="auto"/>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proofErr w:type="spellStart"/>
            <w:r w:rsidRPr="00672CD2">
              <w:rPr>
                <w:rFonts w:ascii="Calibri" w:eastAsia="Times New Roman" w:hAnsi="Calibri" w:cs="Times New Roman"/>
                <w:color w:val="000000"/>
                <w:sz w:val="20"/>
                <w:szCs w:val="20"/>
                <w:lang w:eastAsia="es-ES"/>
              </w:rPr>
              <w:t>Eq</w:t>
            </w:r>
            <w:proofErr w:type="spellEnd"/>
            <w:r w:rsidRPr="00672CD2">
              <w:rPr>
                <w:rFonts w:ascii="Calibri" w:eastAsia="Times New Roman" w:hAnsi="Calibri" w:cs="Times New Roman"/>
                <w:color w:val="000000"/>
                <w:sz w:val="20"/>
                <w:szCs w:val="20"/>
                <w:lang w:eastAsia="es-ES"/>
              </w:rPr>
              <w:t>. Proceso  Información</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10.907,70</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12.163,04</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1.420,83</w:t>
            </w: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21.649,91</w:t>
            </w:r>
          </w:p>
        </w:tc>
      </w:tr>
      <w:tr w:rsidR="00672CD2" w:rsidRPr="00672CD2" w:rsidTr="00672CD2">
        <w:trPr>
          <w:trHeight w:val="300"/>
        </w:trPr>
        <w:tc>
          <w:tcPr>
            <w:tcW w:w="2380" w:type="dxa"/>
            <w:tcBorders>
              <w:top w:val="nil"/>
              <w:left w:val="nil"/>
              <w:bottom w:val="nil"/>
              <w:right w:val="nil"/>
            </w:tcBorders>
            <w:shd w:val="clear" w:color="auto" w:fill="auto"/>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Instalaciones en Montaje</w:t>
            </w:r>
          </w:p>
        </w:tc>
        <w:tc>
          <w:tcPr>
            <w:tcW w:w="1300" w:type="dxa"/>
            <w:tcBorders>
              <w:top w:val="nil"/>
              <w:left w:val="nil"/>
              <w:bottom w:val="nil"/>
              <w:right w:val="nil"/>
            </w:tcBorders>
            <w:shd w:val="clear" w:color="auto" w:fill="auto"/>
            <w:noWrap/>
            <w:vAlign w:val="bottom"/>
            <w:hideMark/>
          </w:tcPr>
          <w:p w:rsidR="00672CD2" w:rsidRPr="00672CD2" w:rsidRDefault="002D4834" w:rsidP="00672CD2">
            <w:pPr>
              <w:spacing w:after="0" w:line="240" w:lineRule="auto"/>
              <w:jc w:val="right"/>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29.15</w:t>
            </w:r>
            <w:r w:rsidR="00672CD2" w:rsidRPr="00672CD2">
              <w:rPr>
                <w:rFonts w:ascii="Calibri" w:eastAsia="Times New Roman" w:hAnsi="Calibri" w:cs="Times New Roman"/>
                <w:color w:val="000000"/>
                <w:sz w:val="20"/>
                <w:szCs w:val="20"/>
                <w:lang w:eastAsia="es-ES"/>
              </w:rPr>
              <w:t>4,24</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315.125,88</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146.212,62</w:t>
            </w:r>
          </w:p>
        </w:tc>
        <w:tc>
          <w:tcPr>
            <w:tcW w:w="1360" w:type="dxa"/>
            <w:tcBorders>
              <w:top w:val="nil"/>
              <w:left w:val="nil"/>
              <w:bottom w:val="nil"/>
              <w:right w:val="nil"/>
            </w:tcBorders>
            <w:shd w:val="clear" w:color="auto" w:fill="auto"/>
            <w:noWrap/>
            <w:vAlign w:val="bottom"/>
            <w:hideMark/>
          </w:tcPr>
          <w:p w:rsidR="00672CD2" w:rsidRPr="00672CD2" w:rsidRDefault="00672CD2" w:rsidP="002D4834">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198.0</w:t>
            </w:r>
            <w:r w:rsidR="002D4834">
              <w:rPr>
                <w:rFonts w:ascii="Calibri" w:eastAsia="Times New Roman" w:hAnsi="Calibri" w:cs="Times New Roman"/>
                <w:b/>
                <w:bCs/>
                <w:color w:val="000000"/>
                <w:sz w:val="20"/>
                <w:szCs w:val="20"/>
                <w:lang w:eastAsia="es-ES"/>
              </w:rPr>
              <w:t>6</w:t>
            </w:r>
            <w:r w:rsidRPr="00672CD2">
              <w:rPr>
                <w:rFonts w:ascii="Calibri" w:eastAsia="Times New Roman" w:hAnsi="Calibri" w:cs="Times New Roman"/>
                <w:b/>
                <w:bCs/>
                <w:color w:val="000000"/>
                <w:sz w:val="20"/>
                <w:szCs w:val="20"/>
                <w:lang w:eastAsia="es-ES"/>
              </w:rPr>
              <w:t>7,50</w:t>
            </w:r>
          </w:p>
        </w:tc>
      </w:tr>
      <w:tr w:rsidR="00672CD2" w:rsidRPr="00672CD2" w:rsidTr="00672CD2">
        <w:trPr>
          <w:trHeight w:val="165"/>
        </w:trPr>
        <w:tc>
          <w:tcPr>
            <w:tcW w:w="2380" w:type="dxa"/>
            <w:tcBorders>
              <w:top w:val="nil"/>
              <w:left w:val="nil"/>
              <w:bottom w:val="nil"/>
              <w:right w:val="nil"/>
            </w:tcBorders>
            <w:shd w:val="clear" w:color="000000" w:fill="A6A6A6"/>
            <w:noWrap/>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 </w:t>
            </w:r>
          </w:p>
        </w:tc>
        <w:tc>
          <w:tcPr>
            <w:tcW w:w="1300" w:type="dxa"/>
            <w:tcBorders>
              <w:top w:val="nil"/>
              <w:left w:val="nil"/>
              <w:bottom w:val="nil"/>
              <w:right w:val="nil"/>
            </w:tcBorders>
            <w:shd w:val="clear" w:color="000000" w:fill="A6A6A6"/>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 </w:t>
            </w:r>
          </w:p>
        </w:tc>
        <w:tc>
          <w:tcPr>
            <w:tcW w:w="1200" w:type="dxa"/>
            <w:tcBorders>
              <w:top w:val="nil"/>
              <w:left w:val="nil"/>
              <w:bottom w:val="nil"/>
              <w:right w:val="nil"/>
            </w:tcBorders>
            <w:shd w:val="clear" w:color="000000" w:fill="A6A6A6"/>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 </w:t>
            </w:r>
          </w:p>
        </w:tc>
        <w:tc>
          <w:tcPr>
            <w:tcW w:w="1200" w:type="dxa"/>
            <w:tcBorders>
              <w:top w:val="nil"/>
              <w:left w:val="nil"/>
              <w:bottom w:val="nil"/>
              <w:right w:val="nil"/>
            </w:tcBorders>
            <w:shd w:val="clear" w:color="000000" w:fill="A6A6A6"/>
            <w:noWrap/>
            <w:vAlign w:val="bottom"/>
            <w:hideMark/>
          </w:tcPr>
          <w:p w:rsidR="00672CD2" w:rsidRPr="00672CD2" w:rsidRDefault="00672CD2" w:rsidP="00672CD2">
            <w:pPr>
              <w:spacing w:after="0" w:line="240" w:lineRule="auto"/>
              <w:jc w:val="center"/>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 </w:t>
            </w:r>
          </w:p>
        </w:tc>
        <w:tc>
          <w:tcPr>
            <w:tcW w:w="1360" w:type="dxa"/>
            <w:tcBorders>
              <w:top w:val="nil"/>
              <w:left w:val="nil"/>
              <w:bottom w:val="nil"/>
              <w:right w:val="nil"/>
            </w:tcBorders>
            <w:shd w:val="clear" w:color="000000" w:fill="A6A6A6"/>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 </w:t>
            </w:r>
          </w:p>
        </w:tc>
      </w:tr>
      <w:tr w:rsidR="00672CD2" w:rsidRPr="00672CD2" w:rsidTr="00672CD2">
        <w:trPr>
          <w:trHeight w:val="375"/>
        </w:trPr>
        <w:tc>
          <w:tcPr>
            <w:tcW w:w="238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Amortización Acumulada</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-16.815,11</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-40.408,29</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0,00</w:t>
            </w: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-57.223,40</w:t>
            </w:r>
          </w:p>
        </w:tc>
      </w:tr>
      <w:tr w:rsidR="00672CD2" w:rsidRPr="00672CD2" w:rsidTr="00672CD2">
        <w:trPr>
          <w:trHeight w:val="300"/>
        </w:trPr>
        <w:tc>
          <w:tcPr>
            <w:tcW w:w="238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center"/>
              <w:rPr>
                <w:rFonts w:ascii="Times New Roman" w:eastAsia="Times New Roman" w:hAnsi="Times New Roman" w:cs="Times New Roman"/>
                <w:sz w:val="20"/>
                <w:szCs w:val="20"/>
                <w:lang w:eastAsia="es-ES"/>
              </w:rPr>
            </w:pPr>
          </w:p>
        </w:tc>
      </w:tr>
      <w:tr w:rsidR="00672CD2" w:rsidRPr="00672CD2" w:rsidTr="00672CD2">
        <w:trPr>
          <w:trHeight w:val="300"/>
        </w:trPr>
        <w:tc>
          <w:tcPr>
            <w:tcW w:w="2380" w:type="dxa"/>
            <w:tcBorders>
              <w:top w:val="nil"/>
              <w:left w:val="nil"/>
              <w:bottom w:val="nil"/>
              <w:right w:val="nil"/>
            </w:tcBorders>
            <w:shd w:val="clear" w:color="auto" w:fill="auto"/>
            <w:vAlign w:val="center"/>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Instalaciones Técnicas</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-13.646,97</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-22.560,00</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-36.206,97</w:t>
            </w:r>
          </w:p>
        </w:tc>
      </w:tr>
      <w:tr w:rsidR="00672CD2" w:rsidRPr="00672CD2" w:rsidTr="00672CD2">
        <w:trPr>
          <w:trHeight w:val="300"/>
        </w:trPr>
        <w:tc>
          <w:tcPr>
            <w:tcW w:w="2380" w:type="dxa"/>
            <w:tcBorders>
              <w:top w:val="nil"/>
              <w:left w:val="nil"/>
              <w:bottom w:val="nil"/>
              <w:right w:val="nil"/>
            </w:tcBorders>
            <w:shd w:val="clear" w:color="auto" w:fill="auto"/>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Utillaje</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-77,19</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-77,19</w:t>
            </w:r>
          </w:p>
        </w:tc>
      </w:tr>
      <w:tr w:rsidR="00672CD2" w:rsidRPr="00672CD2" w:rsidTr="00672CD2">
        <w:trPr>
          <w:trHeight w:val="300"/>
        </w:trPr>
        <w:tc>
          <w:tcPr>
            <w:tcW w:w="2380" w:type="dxa"/>
            <w:tcBorders>
              <w:top w:val="nil"/>
              <w:left w:val="nil"/>
              <w:bottom w:val="nil"/>
              <w:right w:val="nil"/>
            </w:tcBorders>
            <w:shd w:val="clear" w:color="auto" w:fill="auto"/>
            <w:vAlign w:val="bottom"/>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Otras Instalaciones</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-1.298,93</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-14.509,23</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-15.808,16</w:t>
            </w:r>
          </w:p>
        </w:tc>
      </w:tr>
      <w:tr w:rsidR="00672CD2" w:rsidRPr="00672CD2" w:rsidTr="00672CD2">
        <w:trPr>
          <w:trHeight w:val="300"/>
        </w:trPr>
        <w:tc>
          <w:tcPr>
            <w:tcW w:w="2380" w:type="dxa"/>
            <w:tcBorders>
              <w:top w:val="nil"/>
              <w:left w:val="nil"/>
              <w:bottom w:val="nil"/>
              <w:right w:val="nil"/>
            </w:tcBorders>
            <w:shd w:val="clear" w:color="auto" w:fill="auto"/>
            <w:vAlign w:val="center"/>
            <w:hideMark/>
          </w:tcPr>
          <w:p w:rsidR="00672CD2" w:rsidRPr="00672CD2" w:rsidRDefault="00672CD2" w:rsidP="00672CD2">
            <w:pPr>
              <w:spacing w:after="0" w:line="240" w:lineRule="auto"/>
              <w:rPr>
                <w:rFonts w:ascii="Calibri" w:eastAsia="Times New Roman" w:hAnsi="Calibri" w:cs="Times New Roman"/>
                <w:color w:val="000000"/>
                <w:sz w:val="20"/>
                <w:szCs w:val="20"/>
                <w:lang w:eastAsia="es-ES"/>
              </w:rPr>
            </w:pPr>
            <w:proofErr w:type="spellStart"/>
            <w:r w:rsidRPr="00672CD2">
              <w:rPr>
                <w:rFonts w:ascii="Calibri" w:eastAsia="Times New Roman" w:hAnsi="Calibri" w:cs="Times New Roman"/>
                <w:color w:val="000000"/>
                <w:sz w:val="20"/>
                <w:szCs w:val="20"/>
                <w:lang w:eastAsia="es-ES"/>
              </w:rPr>
              <w:t>Eq</w:t>
            </w:r>
            <w:proofErr w:type="spellEnd"/>
            <w:r w:rsidRPr="00672CD2">
              <w:rPr>
                <w:rFonts w:ascii="Calibri" w:eastAsia="Times New Roman" w:hAnsi="Calibri" w:cs="Times New Roman"/>
                <w:color w:val="000000"/>
                <w:sz w:val="20"/>
                <w:szCs w:val="20"/>
                <w:lang w:eastAsia="es-ES"/>
              </w:rPr>
              <w:t>. Proceso  Información</w:t>
            </w: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-1.869,21</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r w:rsidRPr="00672CD2">
              <w:rPr>
                <w:rFonts w:ascii="Calibri" w:eastAsia="Times New Roman" w:hAnsi="Calibri" w:cs="Times New Roman"/>
                <w:color w:val="000000"/>
                <w:sz w:val="20"/>
                <w:szCs w:val="20"/>
                <w:lang w:eastAsia="es-ES"/>
              </w:rPr>
              <w:t>-3.261,87</w:t>
            </w: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-5.131,08</w:t>
            </w:r>
          </w:p>
        </w:tc>
      </w:tr>
      <w:tr w:rsidR="00672CD2" w:rsidRPr="00672CD2" w:rsidTr="00672CD2">
        <w:trPr>
          <w:trHeight w:val="165"/>
        </w:trPr>
        <w:tc>
          <w:tcPr>
            <w:tcW w:w="238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p>
        </w:tc>
        <w:tc>
          <w:tcPr>
            <w:tcW w:w="13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right"/>
              <w:rPr>
                <w:rFonts w:ascii="Times New Roman" w:eastAsia="Times New Roman" w:hAnsi="Times New Roman" w:cs="Times New Roman"/>
                <w:sz w:val="20"/>
                <w:szCs w:val="20"/>
                <w:lang w:eastAsia="es-ES"/>
              </w:rPr>
            </w:pPr>
          </w:p>
        </w:tc>
        <w:tc>
          <w:tcPr>
            <w:tcW w:w="1360" w:type="dxa"/>
            <w:tcBorders>
              <w:top w:val="nil"/>
              <w:left w:val="nil"/>
              <w:bottom w:val="nil"/>
              <w:right w:val="nil"/>
            </w:tcBorders>
            <w:shd w:val="clear" w:color="auto" w:fill="auto"/>
            <w:noWrap/>
            <w:vAlign w:val="bottom"/>
            <w:hideMark/>
          </w:tcPr>
          <w:p w:rsidR="00672CD2" w:rsidRPr="00672CD2" w:rsidRDefault="00672CD2" w:rsidP="00672CD2">
            <w:pPr>
              <w:spacing w:after="0" w:line="240" w:lineRule="auto"/>
              <w:jc w:val="center"/>
              <w:rPr>
                <w:rFonts w:ascii="Times New Roman" w:eastAsia="Times New Roman" w:hAnsi="Times New Roman" w:cs="Times New Roman"/>
                <w:sz w:val="20"/>
                <w:szCs w:val="20"/>
                <w:lang w:eastAsia="es-ES"/>
              </w:rPr>
            </w:pPr>
          </w:p>
        </w:tc>
      </w:tr>
      <w:tr w:rsidR="00672CD2" w:rsidRPr="00672CD2" w:rsidTr="00672CD2">
        <w:trPr>
          <w:trHeight w:val="315"/>
        </w:trPr>
        <w:tc>
          <w:tcPr>
            <w:tcW w:w="2380" w:type="dxa"/>
            <w:tcBorders>
              <w:top w:val="single" w:sz="4" w:space="0" w:color="auto"/>
              <w:left w:val="nil"/>
              <w:bottom w:val="single" w:sz="8" w:space="0" w:color="auto"/>
              <w:right w:val="nil"/>
            </w:tcBorders>
            <w:shd w:val="clear" w:color="auto" w:fill="auto"/>
            <w:noWrap/>
            <w:vAlign w:val="bottom"/>
            <w:hideMark/>
          </w:tcPr>
          <w:p w:rsidR="00672CD2" w:rsidRPr="00672CD2" w:rsidRDefault="00672CD2" w:rsidP="00672CD2">
            <w:pPr>
              <w:spacing w:after="0" w:line="240" w:lineRule="auto"/>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 xml:space="preserve">Valor neto contable </w:t>
            </w:r>
          </w:p>
        </w:tc>
        <w:tc>
          <w:tcPr>
            <w:tcW w:w="1300" w:type="dxa"/>
            <w:tcBorders>
              <w:top w:val="single" w:sz="4" w:space="0" w:color="auto"/>
              <w:left w:val="nil"/>
              <w:bottom w:val="single" w:sz="8" w:space="0" w:color="auto"/>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221.289,73</w:t>
            </w:r>
          </w:p>
        </w:tc>
        <w:tc>
          <w:tcPr>
            <w:tcW w:w="1200" w:type="dxa"/>
            <w:tcBorders>
              <w:top w:val="single" w:sz="4" w:space="0" w:color="auto"/>
              <w:left w:val="nil"/>
              <w:bottom w:val="single" w:sz="8" w:space="0" w:color="auto"/>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540.977,33</w:t>
            </w:r>
          </w:p>
        </w:tc>
        <w:tc>
          <w:tcPr>
            <w:tcW w:w="1200" w:type="dxa"/>
            <w:tcBorders>
              <w:top w:val="single" w:sz="4" w:space="0" w:color="auto"/>
              <w:left w:val="nil"/>
              <w:bottom w:val="single" w:sz="8" w:space="0" w:color="auto"/>
              <w:right w:val="nil"/>
            </w:tcBorders>
            <w:shd w:val="clear" w:color="auto" w:fill="auto"/>
            <w:noWrap/>
            <w:vAlign w:val="bottom"/>
            <w:hideMark/>
          </w:tcPr>
          <w:p w:rsidR="00672CD2" w:rsidRPr="00672CD2" w:rsidRDefault="00672CD2" w:rsidP="00672CD2">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163.988,71</w:t>
            </w:r>
          </w:p>
        </w:tc>
        <w:tc>
          <w:tcPr>
            <w:tcW w:w="1360" w:type="dxa"/>
            <w:tcBorders>
              <w:top w:val="single" w:sz="4" w:space="0" w:color="auto"/>
              <w:left w:val="nil"/>
              <w:bottom w:val="single" w:sz="8" w:space="0" w:color="auto"/>
              <w:right w:val="nil"/>
            </w:tcBorders>
            <w:shd w:val="clear" w:color="auto" w:fill="auto"/>
            <w:noWrap/>
            <w:vAlign w:val="bottom"/>
            <w:hideMark/>
          </w:tcPr>
          <w:p w:rsidR="00672CD2" w:rsidRPr="00672CD2" w:rsidRDefault="00672CD2" w:rsidP="002D4834">
            <w:pPr>
              <w:spacing w:after="0" w:line="240" w:lineRule="auto"/>
              <w:jc w:val="right"/>
              <w:rPr>
                <w:rFonts w:ascii="Calibri" w:eastAsia="Times New Roman" w:hAnsi="Calibri" w:cs="Times New Roman"/>
                <w:b/>
                <w:bCs/>
                <w:color w:val="000000"/>
                <w:sz w:val="20"/>
                <w:szCs w:val="20"/>
                <w:lang w:eastAsia="es-ES"/>
              </w:rPr>
            </w:pPr>
            <w:r w:rsidRPr="00672CD2">
              <w:rPr>
                <w:rFonts w:ascii="Calibri" w:eastAsia="Times New Roman" w:hAnsi="Calibri" w:cs="Times New Roman"/>
                <w:b/>
                <w:bCs/>
                <w:color w:val="000000"/>
                <w:sz w:val="20"/>
                <w:szCs w:val="20"/>
                <w:lang w:eastAsia="es-ES"/>
              </w:rPr>
              <w:t>598.</w:t>
            </w:r>
            <w:r w:rsidR="002D4834">
              <w:rPr>
                <w:rFonts w:ascii="Calibri" w:eastAsia="Times New Roman" w:hAnsi="Calibri" w:cs="Times New Roman"/>
                <w:b/>
                <w:bCs/>
                <w:color w:val="000000"/>
                <w:sz w:val="20"/>
                <w:szCs w:val="20"/>
                <w:lang w:eastAsia="es-ES"/>
              </w:rPr>
              <w:t>308</w:t>
            </w:r>
            <w:r w:rsidRPr="00672CD2">
              <w:rPr>
                <w:rFonts w:ascii="Calibri" w:eastAsia="Times New Roman" w:hAnsi="Calibri" w:cs="Times New Roman"/>
                <w:b/>
                <w:bCs/>
                <w:color w:val="000000"/>
                <w:sz w:val="20"/>
                <w:szCs w:val="20"/>
                <w:lang w:eastAsia="es-ES"/>
              </w:rPr>
              <w:t>,35</w:t>
            </w:r>
          </w:p>
        </w:tc>
      </w:tr>
    </w:tbl>
    <w:p w:rsidR="00C732F8" w:rsidRDefault="00C732F8" w:rsidP="00CC2A97">
      <w:pPr>
        <w:jc w:val="both"/>
      </w:pPr>
    </w:p>
    <w:tbl>
      <w:tblPr>
        <w:tblW w:w="7440" w:type="dxa"/>
        <w:tblInd w:w="55" w:type="dxa"/>
        <w:tblCellMar>
          <w:left w:w="70" w:type="dxa"/>
          <w:right w:w="70" w:type="dxa"/>
        </w:tblCellMar>
        <w:tblLook w:val="04A0"/>
      </w:tblPr>
      <w:tblGrid>
        <w:gridCol w:w="2380"/>
        <w:gridCol w:w="1300"/>
        <w:gridCol w:w="1200"/>
        <w:gridCol w:w="1200"/>
        <w:gridCol w:w="1360"/>
      </w:tblGrid>
      <w:tr w:rsidR="00234FE5" w:rsidRPr="00234FE5" w:rsidTr="00234FE5">
        <w:trPr>
          <w:trHeight w:val="402"/>
        </w:trPr>
        <w:tc>
          <w:tcPr>
            <w:tcW w:w="3680" w:type="dxa"/>
            <w:gridSpan w:val="2"/>
            <w:tcBorders>
              <w:top w:val="single" w:sz="4" w:space="0" w:color="auto"/>
              <w:left w:val="nil"/>
              <w:bottom w:val="nil"/>
              <w:right w:val="nil"/>
            </w:tcBorders>
            <w:shd w:val="clear" w:color="000000" w:fill="BFBFBF"/>
            <w:noWrap/>
            <w:vAlign w:val="center"/>
            <w:hideMark/>
          </w:tcPr>
          <w:p w:rsidR="00234FE5" w:rsidRPr="00234FE5" w:rsidRDefault="00234FE5" w:rsidP="00234FE5">
            <w:pPr>
              <w:spacing w:after="0" w:line="240" w:lineRule="auto"/>
              <w:rPr>
                <w:rFonts w:ascii="Calibri" w:eastAsia="Times New Roman" w:hAnsi="Calibri" w:cs="Calibri"/>
                <w:b/>
                <w:bCs/>
                <w:color w:val="000000"/>
                <w:lang w:eastAsia="es-ES"/>
              </w:rPr>
            </w:pPr>
            <w:r w:rsidRPr="00234FE5">
              <w:rPr>
                <w:rFonts w:ascii="Calibri" w:eastAsia="Times New Roman" w:hAnsi="Calibri" w:cs="Calibri"/>
                <w:b/>
                <w:bCs/>
                <w:color w:val="000000"/>
                <w:lang w:eastAsia="es-ES"/>
              </w:rPr>
              <w:t>INMOVILIZADO MATERIAL   2016</w:t>
            </w:r>
          </w:p>
        </w:tc>
        <w:tc>
          <w:tcPr>
            <w:tcW w:w="1200" w:type="dxa"/>
            <w:tcBorders>
              <w:top w:val="single" w:sz="4" w:space="0" w:color="auto"/>
              <w:left w:val="nil"/>
              <w:bottom w:val="nil"/>
              <w:right w:val="nil"/>
            </w:tcBorders>
            <w:shd w:val="clear" w:color="000000" w:fill="BFBFBF"/>
            <w:noWrap/>
            <w:vAlign w:val="center"/>
            <w:hideMark/>
          </w:tcPr>
          <w:p w:rsidR="00234FE5" w:rsidRPr="00234FE5" w:rsidRDefault="00234FE5" w:rsidP="00234FE5">
            <w:pPr>
              <w:spacing w:after="0" w:line="240" w:lineRule="auto"/>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 </w:t>
            </w:r>
          </w:p>
        </w:tc>
        <w:tc>
          <w:tcPr>
            <w:tcW w:w="1200" w:type="dxa"/>
            <w:tcBorders>
              <w:top w:val="single" w:sz="4" w:space="0" w:color="auto"/>
              <w:left w:val="nil"/>
              <w:bottom w:val="nil"/>
              <w:right w:val="nil"/>
            </w:tcBorders>
            <w:shd w:val="clear" w:color="000000" w:fill="BFBFBF"/>
            <w:noWrap/>
            <w:vAlign w:val="center"/>
            <w:hideMark/>
          </w:tcPr>
          <w:p w:rsidR="00234FE5" w:rsidRPr="00234FE5" w:rsidRDefault="00234FE5" w:rsidP="00234FE5">
            <w:pPr>
              <w:spacing w:after="0" w:line="240" w:lineRule="auto"/>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 </w:t>
            </w:r>
          </w:p>
        </w:tc>
        <w:tc>
          <w:tcPr>
            <w:tcW w:w="1360" w:type="dxa"/>
            <w:tcBorders>
              <w:top w:val="single" w:sz="4" w:space="0" w:color="auto"/>
              <w:left w:val="nil"/>
              <w:bottom w:val="nil"/>
              <w:right w:val="nil"/>
            </w:tcBorders>
            <w:shd w:val="clear" w:color="000000" w:fill="BFBFBF"/>
            <w:noWrap/>
            <w:vAlign w:val="center"/>
            <w:hideMark/>
          </w:tcPr>
          <w:p w:rsidR="00234FE5" w:rsidRPr="00234FE5" w:rsidRDefault="00234FE5" w:rsidP="00234FE5">
            <w:pPr>
              <w:spacing w:after="0" w:line="240" w:lineRule="auto"/>
              <w:jc w:val="center"/>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 </w:t>
            </w:r>
          </w:p>
        </w:tc>
      </w:tr>
      <w:tr w:rsidR="00234FE5" w:rsidRPr="00234FE5" w:rsidTr="00234FE5">
        <w:trPr>
          <w:trHeight w:val="402"/>
        </w:trPr>
        <w:tc>
          <w:tcPr>
            <w:tcW w:w="2380" w:type="dxa"/>
            <w:tcBorders>
              <w:top w:val="nil"/>
              <w:left w:val="nil"/>
              <w:bottom w:val="single" w:sz="8" w:space="0" w:color="auto"/>
              <w:right w:val="nil"/>
            </w:tcBorders>
            <w:shd w:val="clear" w:color="000000" w:fill="BFBFBF"/>
            <w:noWrap/>
            <w:vAlign w:val="bottom"/>
            <w:hideMark/>
          </w:tcPr>
          <w:p w:rsidR="00234FE5" w:rsidRPr="00234FE5" w:rsidRDefault="00234FE5" w:rsidP="00234FE5">
            <w:pPr>
              <w:spacing w:after="0" w:line="240" w:lineRule="auto"/>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Descripción</w:t>
            </w:r>
          </w:p>
        </w:tc>
        <w:tc>
          <w:tcPr>
            <w:tcW w:w="1300" w:type="dxa"/>
            <w:tcBorders>
              <w:top w:val="nil"/>
              <w:left w:val="nil"/>
              <w:bottom w:val="single" w:sz="8" w:space="0" w:color="auto"/>
              <w:right w:val="nil"/>
            </w:tcBorders>
            <w:shd w:val="clear" w:color="000000" w:fill="BFBFBF"/>
            <w:noWrap/>
            <w:vAlign w:val="bottom"/>
            <w:hideMark/>
          </w:tcPr>
          <w:p w:rsidR="00234FE5" w:rsidRPr="00234FE5" w:rsidRDefault="00234FE5" w:rsidP="00234FE5">
            <w:pPr>
              <w:spacing w:after="0" w:line="240" w:lineRule="auto"/>
              <w:jc w:val="center"/>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Saldo Inicial</w:t>
            </w:r>
          </w:p>
        </w:tc>
        <w:tc>
          <w:tcPr>
            <w:tcW w:w="1200" w:type="dxa"/>
            <w:tcBorders>
              <w:top w:val="nil"/>
              <w:left w:val="nil"/>
              <w:bottom w:val="single" w:sz="8" w:space="0" w:color="auto"/>
              <w:right w:val="nil"/>
            </w:tcBorders>
            <w:shd w:val="clear" w:color="000000" w:fill="BFBFBF"/>
            <w:noWrap/>
            <w:vAlign w:val="bottom"/>
            <w:hideMark/>
          </w:tcPr>
          <w:p w:rsidR="00234FE5" w:rsidRPr="00234FE5" w:rsidRDefault="00234FE5" w:rsidP="00234FE5">
            <w:pPr>
              <w:spacing w:after="0" w:line="240" w:lineRule="auto"/>
              <w:jc w:val="center"/>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Aumentos</w:t>
            </w:r>
          </w:p>
        </w:tc>
        <w:tc>
          <w:tcPr>
            <w:tcW w:w="1200" w:type="dxa"/>
            <w:tcBorders>
              <w:top w:val="nil"/>
              <w:left w:val="nil"/>
              <w:bottom w:val="single" w:sz="8" w:space="0" w:color="auto"/>
              <w:right w:val="nil"/>
            </w:tcBorders>
            <w:shd w:val="clear" w:color="000000" w:fill="BFBFBF"/>
            <w:noWrap/>
            <w:vAlign w:val="bottom"/>
            <w:hideMark/>
          </w:tcPr>
          <w:p w:rsidR="00234FE5" w:rsidRPr="00234FE5" w:rsidRDefault="00234FE5" w:rsidP="00234FE5">
            <w:pPr>
              <w:spacing w:after="0" w:line="240" w:lineRule="auto"/>
              <w:jc w:val="center"/>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Disminución</w:t>
            </w:r>
          </w:p>
        </w:tc>
        <w:tc>
          <w:tcPr>
            <w:tcW w:w="1360" w:type="dxa"/>
            <w:tcBorders>
              <w:top w:val="nil"/>
              <w:left w:val="nil"/>
              <w:bottom w:val="single" w:sz="8" w:space="0" w:color="auto"/>
              <w:right w:val="nil"/>
            </w:tcBorders>
            <w:shd w:val="clear" w:color="000000" w:fill="BFBFBF"/>
            <w:noWrap/>
            <w:vAlign w:val="bottom"/>
            <w:hideMark/>
          </w:tcPr>
          <w:p w:rsidR="00234FE5" w:rsidRPr="00234FE5" w:rsidRDefault="00234FE5" w:rsidP="00234FE5">
            <w:pPr>
              <w:spacing w:after="0" w:line="240" w:lineRule="auto"/>
              <w:jc w:val="center"/>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 xml:space="preserve">Saldo Final </w:t>
            </w:r>
          </w:p>
        </w:tc>
      </w:tr>
      <w:tr w:rsidR="00234FE5" w:rsidRPr="00234FE5" w:rsidTr="00234FE5">
        <w:trPr>
          <w:trHeight w:val="402"/>
        </w:trPr>
        <w:tc>
          <w:tcPr>
            <w:tcW w:w="238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Inmovilizado Material</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65.175,00</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329.377,44</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156.417,60</w:t>
            </w: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238.134,84</w:t>
            </w:r>
          </w:p>
        </w:tc>
      </w:tr>
      <w:tr w:rsidR="00234FE5" w:rsidRPr="00234FE5" w:rsidTr="00234FE5">
        <w:trPr>
          <w:trHeight w:val="80"/>
        </w:trPr>
        <w:tc>
          <w:tcPr>
            <w:tcW w:w="238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rPr>
                <w:rFonts w:ascii="Calibri" w:eastAsia="Times New Roman" w:hAnsi="Calibri" w:cs="Calibri"/>
                <w:b/>
                <w:bCs/>
                <w:color w:val="000000"/>
                <w:sz w:val="20"/>
                <w:szCs w:val="20"/>
                <w:lang w:eastAsia="es-ES"/>
              </w:rPr>
            </w:pP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rPr>
                <w:rFonts w:ascii="Calibri" w:eastAsia="Times New Roman" w:hAnsi="Calibri" w:cs="Calibri"/>
                <w:b/>
                <w:bCs/>
                <w:color w:val="000000"/>
                <w:sz w:val="20"/>
                <w:szCs w:val="20"/>
                <w:lang w:eastAsia="es-ES"/>
              </w:rPr>
            </w:pP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rPr>
                <w:rFonts w:ascii="Calibri" w:eastAsia="Times New Roman" w:hAnsi="Calibri" w:cs="Calibri"/>
                <w:b/>
                <w:bCs/>
                <w:color w:val="000000"/>
                <w:sz w:val="20"/>
                <w:szCs w:val="20"/>
                <w:lang w:eastAsia="es-ES"/>
              </w:rPr>
            </w:pPr>
          </w:p>
        </w:tc>
      </w:tr>
      <w:tr w:rsidR="00234FE5" w:rsidRPr="00234FE5" w:rsidTr="00234FE5">
        <w:trPr>
          <w:trHeight w:val="402"/>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Instalaciones Técnicas</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14.833,20</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74.219,31</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89.052,51</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Utillaje</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0,00</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Otras Instalaciones</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446,00</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108.574,39</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109.020,39</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proofErr w:type="spellStart"/>
            <w:r w:rsidRPr="00234FE5">
              <w:rPr>
                <w:rFonts w:ascii="Calibri" w:eastAsia="Times New Roman" w:hAnsi="Calibri" w:cs="Calibri"/>
                <w:color w:val="000000"/>
                <w:sz w:val="20"/>
                <w:szCs w:val="20"/>
                <w:lang w:eastAsia="es-ES"/>
              </w:rPr>
              <w:t>Eq</w:t>
            </w:r>
            <w:proofErr w:type="spellEnd"/>
            <w:r w:rsidRPr="00234FE5">
              <w:rPr>
                <w:rFonts w:ascii="Calibri" w:eastAsia="Times New Roman" w:hAnsi="Calibri" w:cs="Calibri"/>
                <w:color w:val="000000"/>
                <w:sz w:val="20"/>
                <w:szCs w:val="20"/>
                <w:lang w:eastAsia="es-ES"/>
              </w:rPr>
              <w:t>. Proceso  Información</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5.008,27</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5.899,43</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10.907,70</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Instalaciones en Montaje</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44.887,53</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140.684,31</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156.417,60</w:t>
            </w: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29.154,24</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lastRenderedPageBreak/>
              <w:t> </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 </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 </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 </w:t>
            </w: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 </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b/>
                <w:color w:val="000000"/>
                <w:sz w:val="20"/>
                <w:szCs w:val="20"/>
                <w:lang w:eastAsia="es-ES"/>
              </w:rPr>
            </w:pPr>
          </w:p>
          <w:p w:rsidR="00234FE5" w:rsidRPr="00234FE5" w:rsidRDefault="00234FE5" w:rsidP="00234FE5">
            <w:pPr>
              <w:spacing w:after="0" w:line="240" w:lineRule="auto"/>
              <w:rPr>
                <w:rFonts w:ascii="Calibri" w:eastAsia="Times New Roman" w:hAnsi="Calibri" w:cs="Calibri"/>
                <w:b/>
                <w:color w:val="000000"/>
                <w:sz w:val="20"/>
                <w:szCs w:val="20"/>
                <w:lang w:eastAsia="es-ES"/>
              </w:rPr>
            </w:pPr>
          </w:p>
          <w:p w:rsidR="00234FE5" w:rsidRPr="00234FE5" w:rsidRDefault="00234FE5" w:rsidP="00234FE5">
            <w:pPr>
              <w:spacing w:after="0" w:line="240" w:lineRule="auto"/>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Amortización Acumulada</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-2.479,24</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-14.335,87</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0,00</w:t>
            </w: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-16.815,11</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Instalaciones Técnicas</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-1.949,59</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-11.697,38</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-13.646,97</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Utillaje</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0,00</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0,00</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Otras Instalaciones</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-0,25</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-1.298,68</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-1.298,93</w:t>
            </w:r>
          </w:p>
        </w:tc>
      </w:tr>
      <w:tr w:rsidR="00234FE5" w:rsidRPr="00234FE5" w:rsidTr="00234FE5">
        <w:trPr>
          <w:trHeight w:val="300"/>
        </w:trPr>
        <w:tc>
          <w:tcPr>
            <w:tcW w:w="2380" w:type="dxa"/>
            <w:tcBorders>
              <w:top w:val="nil"/>
              <w:left w:val="nil"/>
              <w:bottom w:val="nil"/>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proofErr w:type="spellStart"/>
            <w:r w:rsidRPr="00234FE5">
              <w:rPr>
                <w:rFonts w:ascii="Calibri" w:eastAsia="Times New Roman" w:hAnsi="Calibri" w:cs="Calibri"/>
                <w:color w:val="000000"/>
                <w:sz w:val="20"/>
                <w:szCs w:val="20"/>
                <w:lang w:eastAsia="es-ES"/>
              </w:rPr>
              <w:t>Eq</w:t>
            </w:r>
            <w:proofErr w:type="spellEnd"/>
            <w:r w:rsidRPr="00234FE5">
              <w:rPr>
                <w:rFonts w:ascii="Calibri" w:eastAsia="Times New Roman" w:hAnsi="Calibri" w:cs="Calibri"/>
                <w:color w:val="000000"/>
                <w:sz w:val="20"/>
                <w:szCs w:val="20"/>
                <w:lang w:eastAsia="es-ES"/>
              </w:rPr>
              <w:t>. Proceso  Información</w:t>
            </w:r>
          </w:p>
        </w:tc>
        <w:tc>
          <w:tcPr>
            <w:tcW w:w="13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-529,40</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r w:rsidRPr="00234FE5">
              <w:rPr>
                <w:rFonts w:ascii="Calibri" w:eastAsia="Times New Roman" w:hAnsi="Calibri" w:cs="Calibri"/>
                <w:color w:val="000000"/>
                <w:sz w:val="20"/>
                <w:szCs w:val="20"/>
                <w:lang w:eastAsia="es-ES"/>
              </w:rPr>
              <w:t>-1.339,81</w:t>
            </w:r>
          </w:p>
        </w:tc>
        <w:tc>
          <w:tcPr>
            <w:tcW w:w="120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-1.869,21</w:t>
            </w:r>
          </w:p>
        </w:tc>
      </w:tr>
      <w:tr w:rsidR="00234FE5" w:rsidRPr="00234FE5" w:rsidTr="00234FE5">
        <w:trPr>
          <w:trHeight w:val="300"/>
        </w:trPr>
        <w:tc>
          <w:tcPr>
            <w:tcW w:w="2380" w:type="dxa"/>
            <w:tcBorders>
              <w:top w:val="nil"/>
              <w:left w:val="nil"/>
              <w:bottom w:val="single" w:sz="4" w:space="0" w:color="auto"/>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color w:val="000000"/>
                <w:sz w:val="20"/>
                <w:szCs w:val="20"/>
                <w:lang w:eastAsia="es-ES"/>
              </w:rPr>
            </w:pPr>
          </w:p>
        </w:tc>
        <w:tc>
          <w:tcPr>
            <w:tcW w:w="1300" w:type="dxa"/>
            <w:tcBorders>
              <w:top w:val="nil"/>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200" w:type="dxa"/>
            <w:tcBorders>
              <w:top w:val="nil"/>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200" w:type="dxa"/>
            <w:tcBorders>
              <w:top w:val="nil"/>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color w:val="000000"/>
                <w:sz w:val="20"/>
                <w:szCs w:val="20"/>
                <w:lang w:eastAsia="es-ES"/>
              </w:rPr>
            </w:pPr>
          </w:p>
        </w:tc>
        <w:tc>
          <w:tcPr>
            <w:tcW w:w="1360" w:type="dxa"/>
            <w:tcBorders>
              <w:top w:val="nil"/>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p>
        </w:tc>
      </w:tr>
      <w:tr w:rsidR="00234FE5" w:rsidRPr="00234FE5" w:rsidTr="00234FE5">
        <w:trPr>
          <w:trHeight w:val="300"/>
        </w:trPr>
        <w:tc>
          <w:tcPr>
            <w:tcW w:w="2380" w:type="dxa"/>
            <w:tcBorders>
              <w:top w:val="single" w:sz="4" w:space="0" w:color="auto"/>
              <w:left w:val="nil"/>
              <w:bottom w:val="single" w:sz="4" w:space="0" w:color="auto"/>
              <w:right w:val="nil"/>
            </w:tcBorders>
            <w:shd w:val="clear" w:color="auto" w:fill="auto"/>
            <w:vAlign w:val="bottom"/>
            <w:hideMark/>
          </w:tcPr>
          <w:p w:rsidR="00234FE5" w:rsidRPr="00234FE5" w:rsidRDefault="00234FE5" w:rsidP="00234FE5">
            <w:pPr>
              <w:spacing w:after="0" w:line="240" w:lineRule="auto"/>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 xml:space="preserve">Valor neto contable </w:t>
            </w:r>
          </w:p>
        </w:tc>
        <w:tc>
          <w:tcPr>
            <w:tcW w:w="1300" w:type="dxa"/>
            <w:tcBorders>
              <w:top w:val="single" w:sz="4" w:space="0" w:color="auto"/>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62.695,76</w:t>
            </w:r>
          </w:p>
        </w:tc>
        <w:tc>
          <w:tcPr>
            <w:tcW w:w="1200" w:type="dxa"/>
            <w:tcBorders>
              <w:top w:val="single" w:sz="4" w:space="0" w:color="auto"/>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315.041,57</w:t>
            </w:r>
          </w:p>
        </w:tc>
        <w:tc>
          <w:tcPr>
            <w:tcW w:w="1200" w:type="dxa"/>
            <w:tcBorders>
              <w:top w:val="single" w:sz="4" w:space="0" w:color="auto"/>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color w:val="000000"/>
                <w:sz w:val="20"/>
                <w:szCs w:val="20"/>
                <w:lang w:eastAsia="es-ES"/>
              </w:rPr>
            </w:pPr>
            <w:r w:rsidRPr="00234FE5">
              <w:rPr>
                <w:rFonts w:ascii="Calibri" w:eastAsia="Times New Roman" w:hAnsi="Calibri" w:cs="Calibri"/>
                <w:b/>
                <w:color w:val="000000"/>
                <w:sz w:val="20"/>
                <w:szCs w:val="20"/>
                <w:lang w:eastAsia="es-ES"/>
              </w:rPr>
              <w:t>156.417,60</w:t>
            </w:r>
          </w:p>
        </w:tc>
        <w:tc>
          <w:tcPr>
            <w:tcW w:w="1360" w:type="dxa"/>
            <w:tcBorders>
              <w:top w:val="single" w:sz="4" w:space="0" w:color="auto"/>
              <w:left w:val="nil"/>
              <w:bottom w:val="single" w:sz="4" w:space="0" w:color="auto"/>
              <w:right w:val="nil"/>
            </w:tcBorders>
            <w:shd w:val="clear" w:color="auto" w:fill="auto"/>
            <w:noWrap/>
            <w:vAlign w:val="bottom"/>
            <w:hideMark/>
          </w:tcPr>
          <w:p w:rsidR="00234FE5" w:rsidRPr="00234FE5" w:rsidRDefault="00234FE5" w:rsidP="00234FE5">
            <w:pPr>
              <w:spacing w:after="0" w:line="240" w:lineRule="auto"/>
              <w:jc w:val="right"/>
              <w:rPr>
                <w:rFonts w:ascii="Calibri" w:eastAsia="Times New Roman" w:hAnsi="Calibri" w:cs="Calibri"/>
                <w:b/>
                <w:bCs/>
                <w:color w:val="000000"/>
                <w:sz w:val="20"/>
                <w:szCs w:val="20"/>
                <w:lang w:eastAsia="es-ES"/>
              </w:rPr>
            </w:pPr>
            <w:r w:rsidRPr="00234FE5">
              <w:rPr>
                <w:rFonts w:ascii="Calibri" w:eastAsia="Times New Roman" w:hAnsi="Calibri" w:cs="Calibri"/>
                <w:b/>
                <w:bCs/>
                <w:color w:val="000000"/>
                <w:sz w:val="20"/>
                <w:szCs w:val="20"/>
                <w:lang w:eastAsia="es-ES"/>
              </w:rPr>
              <w:t>221.319,73</w:t>
            </w:r>
          </w:p>
        </w:tc>
      </w:tr>
    </w:tbl>
    <w:p w:rsidR="00234FE5" w:rsidRDefault="00234FE5" w:rsidP="00CC2A97">
      <w:pPr>
        <w:jc w:val="both"/>
      </w:pPr>
    </w:p>
    <w:p w:rsidR="00990048" w:rsidRDefault="00CC2A97" w:rsidP="00CC2A97">
      <w:pPr>
        <w:jc w:val="both"/>
      </w:pPr>
      <w:r>
        <w:t xml:space="preserve">Las subvenciones relacionados con el Inmovilizado Material a 31 de diciembre de 2017 ascienden a la cantidad </w:t>
      </w:r>
      <w:r w:rsidR="000502A6">
        <w:t>de 482.816,49</w:t>
      </w:r>
      <w:r>
        <w:t xml:space="preserve"> € </w:t>
      </w:r>
      <w:r w:rsidR="0047692A">
        <w:t xml:space="preserve"> </w:t>
      </w:r>
      <w:r>
        <w:t>(</w:t>
      </w:r>
      <w:r w:rsidR="000502A6">
        <w:t>165.888,67</w:t>
      </w:r>
      <w:r>
        <w:t xml:space="preserve"> € en 2016).</w:t>
      </w:r>
    </w:p>
    <w:p w:rsidR="00270482" w:rsidRPr="008A0E1E" w:rsidRDefault="00270482" w:rsidP="00E518DE">
      <w:pPr>
        <w:pStyle w:val="Ttulo4"/>
        <w:rPr>
          <w:sz w:val="8"/>
        </w:rPr>
      </w:pPr>
    </w:p>
    <w:p w:rsidR="00E518DE" w:rsidRPr="008A0E1E" w:rsidRDefault="00C10310" w:rsidP="00E518DE">
      <w:pPr>
        <w:pStyle w:val="Ttulo4"/>
      </w:pPr>
      <w:r w:rsidRPr="008A0E1E">
        <w:t>5</w:t>
      </w:r>
      <w:r w:rsidR="00AE3BF0" w:rsidRPr="008A0E1E">
        <w:t xml:space="preserve">. </w:t>
      </w:r>
      <w:r w:rsidR="00E518DE" w:rsidRPr="008A0E1E">
        <w:t xml:space="preserve"> ACTIVOS FINANCIEROS </w:t>
      </w:r>
    </w:p>
    <w:p w:rsidR="00C10310" w:rsidRPr="00C10310" w:rsidRDefault="00C10310" w:rsidP="00C10310">
      <w:pPr>
        <w:jc w:val="both"/>
        <w:rPr>
          <w:u w:val="single"/>
        </w:rPr>
      </w:pPr>
      <w:r w:rsidRPr="00C10310">
        <w:rPr>
          <w:u w:val="single"/>
        </w:rPr>
        <w:t xml:space="preserve">Análisis activos financieros en el balance </w:t>
      </w:r>
    </w:p>
    <w:p w:rsidR="00C10310" w:rsidRPr="00C10310" w:rsidRDefault="00C10310" w:rsidP="00C10310">
      <w:pPr>
        <w:jc w:val="both"/>
      </w:pPr>
      <w:r w:rsidRPr="00C10310">
        <w:t xml:space="preserve">A continuación se detallan, atendiendo a las categorías establecidas en la norma de registro y valoración novena, los activos financieros a corto plazo, salvo las inversiones en empresas del grupo, </w:t>
      </w:r>
      <w:proofErr w:type="spellStart"/>
      <w:r w:rsidRPr="00C10310">
        <w:t>multigrupo</w:t>
      </w:r>
      <w:proofErr w:type="spellEnd"/>
      <w:r w:rsidRPr="00C10310">
        <w:t xml:space="preserve"> y asociadas. El efectivo y otros activos equivalentes no se incluyen en el cuadro: </w:t>
      </w:r>
    </w:p>
    <w:p w:rsidR="00C10310" w:rsidRDefault="00C10310" w:rsidP="00C10310">
      <w:pPr>
        <w:jc w:val="both"/>
      </w:pPr>
      <w:r w:rsidRPr="00C10310">
        <w:t>Los activos financieros a corto plazo son los siguientes:</w:t>
      </w:r>
    </w:p>
    <w:p w:rsidR="000D026D" w:rsidRDefault="000D026D" w:rsidP="00C10310">
      <w:pPr>
        <w:jc w:val="both"/>
      </w:pPr>
    </w:p>
    <w:tbl>
      <w:tblPr>
        <w:tblW w:w="7580" w:type="dxa"/>
        <w:tblInd w:w="461" w:type="dxa"/>
        <w:tblCellMar>
          <w:left w:w="70" w:type="dxa"/>
          <w:right w:w="70" w:type="dxa"/>
        </w:tblCellMar>
        <w:tblLook w:val="04A0"/>
      </w:tblPr>
      <w:tblGrid>
        <w:gridCol w:w="4640"/>
        <w:gridCol w:w="1420"/>
        <w:gridCol w:w="1520"/>
      </w:tblGrid>
      <w:tr w:rsidR="00C10310" w:rsidRPr="00C10310" w:rsidTr="000D026D">
        <w:trPr>
          <w:trHeight w:val="360"/>
        </w:trPr>
        <w:tc>
          <w:tcPr>
            <w:tcW w:w="46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10310" w:rsidRPr="00C10310" w:rsidRDefault="00C10310" w:rsidP="00C10310">
            <w:pPr>
              <w:spacing w:after="0" w:line="240" w:lineRule="auto"/>
              <w:rPr>
                <w:rFonts w:ascii="Calibri" w:eastAsia="Times New Roman" w:hAnsi="Calibri" w:cs="Times New Roman"/>
                <w:b/>
                <w:bCs/>
                <w:color w:val="000000"/>
                <w:sz w:val="20"/>
                <w:lang w:eastAsia="es-ES"/>
              </w:rPr>
            </w:pPr>
            <w:r w:rsidRPr="00C10310">
              <w:rPr>
                <w:rFonts w:ascii="Calibri" w:eastAsia="Times New Roman" w:hAnsi="Calibri" w:cs="Times New Roman"/>
                <w:b/>
                <w:bCs/>
                <w:color w:val="000000"/>
                <w:sz w:val="20"/>
                <w:lang w:eastAsia="es-ES"/>
              </w:rPr>
              <w:t>Créditos, Derivados otros C.P.</w:t>
            </w:r>
          </w:p>
        </w:tc>
        <w:tc>
          <w:tcPr>
            <w:tcW w:w="1420" w:type="dxa"/>
            <w:tcBorders>
              <w:top w:val="single" w:sz="4" w:space="0" w:color="auto"/>
              <w:left w:val="nil"/>
              <w:bottom w:val="single" w:sz="4" w:space="0" w:color="auto"/>
              <w:right w:val="single" w:sz="4" w:space="0" w:color="auto"/>
            </w:tcBorders>
            <w:shd w:val="clear" w:color="000000" w:fill="BFBFBF"/>
            <w:noWrap/>
            <w:vAlign w:val="bottom"/>
            <w:hideMark/>
          </w:tcPr>
          <w:p w:rsidR="00C10310" w:rsidRPr="00C10310" w:rsidRDefault="00C10310" w:rsidP="00C10310">
            <w:pPr>
              <w:spacing w:after="0" w:line="240" w:lineRule="auto"/>
              <w:jc w:val="center"/>
              <w:rPr>
                <w:rFonts w:ascii="Calibri" w:eastAsia="Times New Roman" w:hAnsi="Calibri" w:cs="Times New Roman"/>
                <w:b/>
                <w:bCs/>
                <w:color w:val="000000"/>
                <w:sz w:val="20"/>
                <w:lang w:eastAsia="es-ES"/>
              </w:rPr>
            </w:pPr>
            <w:r w:rsidRPr="00C10310">
              <w:rPr>
                <w:rFonts w:ascii="Calibri" w:eastAsia="Times New Roman" w:hAnsi="Calibri" w:cs="Times New Roman"/>
                <w:b/>
                <w:bCs/>
                <w:color w:val="000000"/>
                <w:sz w:val="20"/>
                <w:lang w:eastAsia="es-ES"/>
              </w:rPr>
              <w:t>2017</w:t>
            </w:r>
          </w:p>
        </w:tc>
        <w:tc>
          <w:tcPr>
            <w:tcW w:w="1520" w:type="dxa"/>
            <w:tcBorders>
              <w:top w:val="single" w:sz="4" w:space="0" w:color="auto"/>
              <w:left w:val="nil"/>
              <w:bottom w:val="single" w:sz="4" w:space="0" w:color="auto"/>
              <w:right w:val="single" w:sz="4" w:space="0" w:color="auto"/>
            </w:tcBorders>
            <w:shd w:val="clear" w:color="000000" w:fill="BFBFBF"/>
            <w:noWrap/>
            <w:vAlign w:val="bottom"/>
            <w:hideMark/>
          </w:tcPr>
          <w:p w:rsidR="00C10310" w:rsidRPr="00C10310" w:rsidRDefault="00C10310" w:rsidP="00C10310">
            <w:pPr>
              <w:spacing w:after="0" w:line="240" w:lineRule="auto"/>
              <w:jc w:val="center"/>
              <w:rPr>
                <w:rFonts w:ascii="Calibri" w:eastAsia="Times New Roman" w:hAnsi="Calibri" w:cs="Times New Roman"/>
                <w:b/>
                <w:bCs/>
                <w:color w:val="000000"/>
                <w:sz w:val="20"/>
                <w:lang w:eastAsia="es-ES"/>
              </w:rPr>
            </w:pPr>
            <w:r w:rsidRPr="00C10310">
              <w:rPr>
                <w:rFonts w:ascii="Calibri" w:eastAsia="Times New Roman" w:hAnsi="Calibri" w:cs="Times New Roman"/>
                <w:b/>
                <w:bCs/>
                <w:color w:val="000000"/>
                <w:sz w:val="20"/>
                <w:lang w:eastAsia="es-ES"/>
              </w:rPr>
              <w:t>2016</w:t>
            </w:r>
          </w:p>
        </w:tc>
      </w:tr>
      <w:tr w:rsidR="00C10310" w:rsidRPr="00C10310" w:rsidTr="000D026D">
        <w:trPr>
          <w:trHeight w:val="36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xml:space="preserve">Activos valor razonable con cambios en </w:t>
            </w:r>
            <w:proofErr w:type="spellStart"/>
            <w:r w:rsidRPr="00C10310">
              <w:rPr>
                <w:rFonts w:ascii="Calibri" w:eastAsia="Times New Roman" w:hAnsi="Calibri" w:cs="Times New Roman"/>
                <w:color w:val="000000"/>
                <w:sz w:val="20"/>
                <w:lang w:eastAsia="es-ES"/>
              </w:rPr>
              <w:t>pyg</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c>
          <w:tcPr>
            <w:tcW w:w="15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r>
      <w:tr w:rsidR="00C10310" w:rsidRPr="00C10310" w:rsidTr="000D026D">
        <w:trPr>
          <w:trHeight w:val="36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C10310" w:rsidRPr="00C10310" w:rsidRDefault="00C10310" w:rsidP="003E7459">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Inversiones mantenidas h</w:t>
            </w:r>
            <w:r w:rsidR="003E7459">
              <w:rPr>
                <w:rFonts w:ascii="Calibri" w:eastAsia="Times New Roman" w:hAnsi="Calibri" w:cs="Times New Roman"/>
                <w:color w:val="000000"/>
                <w:sz w:val="20"/>
                <w:lang w:eastAsia="es-ES"/>
              </w:rPr>
              <w:t>a</w:t>
            </w:r>
            <w:r w:rsidRPr="00C10310">
              <w:rPr>
                <w:rFonts w:ascii="Calibri" w:eastAsia="Times New Roman" w:hAnsi="Calibri" w:cs="Times New Roman"/>
                <w:color w:val="000000"/>
                <w:sz w:val="20"/>
                <w:lang w:eastAsia="es-ES"/>
              </w:rPr>
              <w:t>sta el vencimiento</w:t>
            </w:r>
          </w:p>
        </w:tc>
        <w:tc>
          <w:tcPr>
            <w:tcW w:w="14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c>
          <w:tcPr>
            <w:tcW w:w="15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r>
      <w:tr w:rsidR="00C10310" w:rsidRPr="00C10310" w:rsidTr="000D026D">
        <w:trPr>
          <w:trHeight w:val="36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Préstamos y partidas a cobrar</w:t>
            </w:r>
          </w:p>
        </w:tc>
        <w:tc>
          <w:tcPr>
            <w:tcW w:w="14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jc w:val="right"/>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181.408,83</w:t>
            </w:r>
          </w:p>
        </w:tc>
        <w:tc>
          <w:tcPr>
            <w:tcW w:w="15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jc w:val="right"/>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192.170,65</w:t>
            </w:r>
          </w:p>
        </w:tc>
      </w:tr>
      <w:tr w:rsidR="00C10310" w:rsidRPr="00C10310" w:rsidTr="000D026D">
        <w:trPr>
          <w:trHeight w:val="36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Activos disponibles para la venta</w:t>
            </w:r>
          </w:p>
        </w:tc>
        <w:tc>
          <w:tcPr>
            <w:tcW w:w="14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c>
          <w:tcPr>
            <w:tcW w:w="15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r>
      <w:tr w:rsidR="00C10310" w:rsidRPr="00C10310" w:rsidTr="000D026D">
        <w:trPr>
          <w:trHeight w:val="36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Derivados de cobertura</w:t>
            </w:r>
          </w:p>
        </w:tc>
        <w:tc>
          <w:tcPr>
            <w:tcW w:w="14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c>
          <w:tcPr>
            <w:tcW w:w="15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rPr>
                <w:rFonts w:ascii="Calibri" w:eastAsia="Times New Roman" w:hAnsi="Calibri" w:cs="Times New Roman"/>
                <w:color w:val="000000"/>
                <w:sz w:val="20"/>
                <w:lang w:eastAsia="es-ES"/>
              </w:rPr>
            </w:pPr>
            <w:r w:rsidRPr="00C10310">
              <w:rPr>
                <w:rFonts w:ascii="Calibri" w:eastAsia="Times New Roman" w:hAnsi="Calibri" w:cs="Times New Roman"/>
                <w:color w:val="000000"/>
                <w:sz w:val="20"/>
                <w:lang w:eastAsia="es-ES"/>
              </w:rPr>
              <w:t> </w:t>
            </w:r>
          </w:p>
        </w:tc>
      </w:tr>
      <w:tr w:rsidR="00C10310" w:rsidRPr="00C10310" w:rsidTr="000D026D">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jc w:val="center"/>
              <w:rPr>
                <w:rFonts w:ascii="Calibri" w:eastAsia="Times New Roman" w:hAnsi="Calibri" w:cs="Times New Roman"/>
                <w:b/>
                <w:bCs/>
                <w:color w:val="000000"/>
                <w:sz w:val="20"/>
                <w:lang w:eastAsia="es-ES"/>
              </w:rPr>
            </w:pPr>
            <w:r w:rsidRPr="00C10310">
              <w:rPr>
                <w:rFonts w:ascii="Calibri" w:eastAsia="Times New Roman" w:hAnsi="Calibri" w:cs="Times New Roman"/>
                <w:b/>
                <w:bCs/>
                <w:color w:val="000000"/>
                <w:sz w:val="20"/>
                <w:lang w:eastAsia="es-ES"/>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jc w:val="right"/>
              <w:rPr>
                <w:rFonts w:ascii="Calibri" w:eastAsia="Times New Roman" w:hAnsi="Calibri" w:cs="Times New Roman"/>
                <w:b/>
                <w:bCs/>
                <w:color w:val="000000"/>
                <w:sz w:val="20"/>
                <w:lang w:eastAsia="es-ES"/>
              </w:rPr>
            </w:pPr>
            <w:r w:rsidRPr="00C10310">
              <w:rPr>
                <w:rFonts w:ascii="Calibri" w:eastAsia="Times New Roman" w:hAnsi="Calibri" w:cs="Times New Roman"/>
                <w:b/>
                <w:bCs/>
                <w:color w:val="000000"/>
                <w:sz w:val="20"/>
                <w:lang w:eastAsia="es-ES"/>
              </w:rPr>
              <w:t>181.408,83</w:t>
            </w:r>
          </w:p>
        </w:tc>
        <w:tc>
          <w:tcPr>
            <w:tcW w:w="1520" w:type="dxa"/>
            <w:tcBorders>
              <w:top w:val="nil"/>
              <w:left w:val="nil"/>
              <w:bottom w:val="single" w:sz="4" w:space="0" w:color="auto"/>
              <w:right w:val="single" w:sz="4" w:space="0" w:color="auto"/>
            </w:tcBorders>
            <w:shd w:val="clear" w:color="auto" w:fill="auto"/>
            <w:noWrap/>
            <w:vAlign w:val="bottom"/>
            <w:hideMark/>
          </w:tcPr>
          <w:p w:rsidR="00C10310" w:rsidRPr="00C10310" w:rsidRDefault="00C10310" w:rsidP="00C10310">
            <w:pPr>
              <w:spacing w:after="0" w:line="240" w:lineRule="auto"/>
              <w:jc w:val="right"/>
              <w:rPr>
                <w:rFonts w:ascii="Calibri" w:eastAsia="Times New Roman" w:hAnsi="Calibri" w:cs="Times New Roman"/>
                <w:b/>
                <w:bCs/>
                <w:color w:val="000000"/>
                <w:sz w:val="20"/>
                <w:lang w:eastAsia="es-ES"/>
              </w:rPr>
            </w:pPr>
            <w:r w:rsidRPr="00C10310">
              <w:rPr>
                <w:rFonts w:ascii="Calibri" w:eastAsia="Times New Roman" w:hAnsi="Calibri" w:cs="Times New Roman"/>
                <w:b/>
                <w:bCs/>
                <w:color w:val="000000"/>
                <w:sz w:val="20"/>
                <w:lang w:eastAsia="es-ES"/>
              </w:rPr>
              <w:t>192.170,65</w:t>
            </w:r>
          </w:p>
        </w:tc>
      </w:tr>
    </w:tbl>
    <w:p w:rsidR="00234FE5" w:rsidRDefault="00234FE5" w:rsidP="000D026D">
      <w:pPr>
        <w:autoSpaceDE w:val="0"/>
        <w:autoSpaceDN w:val="0"/>
        <w:adjustRightInd w:val="0"/>
        <w:spacing w:after="0" w:line="240" w:lineRule="auto"/>
        <w:rPr>
          <w:u w:val="single"/>
        </w:rPr>
      </w:pPr>
    </w:p>
    <w:p w:rsidR="000D026D" w:rsidRDefault="000D026D" w:rsidP="000D026D">
      <w:pPr>
        <w:autoSpaceDE w:val="0"/>
        <w:autoSpaceDN w:val="0"/>
        <w:adjustRightInd w:val="0"/>
        <w:spacing w:after="0" w:line="240" w:lineRule="auto"/>
        <w:rPr>
          <w:u w:val="single"/>
        </w:rPr>
      </w:pPr>
      <w:r w:rsidRPr="000D026D">
        <w:rPr>
          <w:u w:val="single"/>
        </w:rPr>
        <w:t xml:space="preserve">Empresas del grupo, </w:t>
      </w:r>
      <w:proofErr w:type="spellStart"/>
      <w:r w:rsidRPr="000D026D">
        <w:rPr>
          <w:u w:val="single"/>
        </w:rPr>
        <w:t>multigrupo</w:t>
      </w:r>
      <w:proofErr w:type="spellEnd"/>
      <w:r w:rsidRPr="000D026D">
        <w:rPr>
          <w:u w:val="single"/>
        </w:rPr>
        <w:t xml:space="preserve"> y asociadas </w:t>
      </w:r>
    </w:p>
    <w:p w:rsidR="000D026D" w:rsidRPr="000D026D" w:rsidRDefault="000D026D" w:rsidP="000D026D">
      <w:pPr>
        <w:autoSpaceDE w:val="0"/>
        <w:autoSpaceDN w:val="0"/>
        <w:adjustRightInd w:val="0"/>
        <w:spacing w:after="0" w:line="240" w:lineRule="auto"/>
        <w:rPr>
          <w:u w:val="single"/>
        </w:rPr>
      </w:pPr>
    </w:p>
    <w:p w:rsidR="00C10310" w:rsidRDefault="000D026D" w:rsidP="000D026D">
      <w:pPr>
        <w:jc w:val="both"/>
      </w:pPr>
      <w:r w:rsidRPr="000D026D">
        <w:t xml:space="preserve">La empresa </w:t>
      </w:r>
      <w:r w:rsidR="00ED31FE">
        <w:t>I</w:t>
      </w:r>
      <w:r w:rsidR="00ED31FE" w:rsidRPr="000D026D">
        <w:t xml:space="preserve">nstituto </w:t>
      </w:r>
      <w:r w:rsidR="00ED31FE">
        <w:t>V</w:t>
      </w:r>
      <w:r w:rsidR="00ED31FE" w:rsidRPr="000D026D">
        <w:t xml:space="preserve">olcanológico de </w:t>
      </w:r>
      <w:r w:rsidR="00ED31FE">
        <w:t>C</w:t>
      </w:r>
      <w:r w:rsidR="00ED31FE" w:rsidRPr="000D026D">
        <w:t xml:space="preserve">anarias </w:t>
      </w:r>
      <w:r w:rsidR="00ED31FE">
        <w:t>S.A.U.</w:t>
      </w:r>
      <w:r w:rsidR="00ED31FE" w:rsidRPr="000D026D">
        <w:t xml:space="preserve"> </w:t>
      </w:r>
      <w:r w:rsidRPr="000D026D">
        <w:t>no tiene acciones o participaciones de entidades que puedan ser consideradas como empresas del grupo.</w:t>
      </w:r>
    </w:p>
    <w:p w:rsidR="00E518DE" w:rsidRPr="00E518DE" w:rsidRDefault="00E518DE" w:rsidP="00E518DE">
      <w:pPr>
        <w:jc w:val="both"/>
      </w:pPr>
      <w:r w:rsidRPr="00E518DE">
        <w:t xml:space="preserve">Los Administradores consideran que el importe en libros de las cuentas de deudores comerciales y otras cuentas a cobrar se aproxima a su valor razonable </w:t>
      </w:r>
    </w:p>
    <w:p w:rsidR="0047692A" w:rsidRPr="0047692A" w:rsidRDefault="0047692A" w:rsidP="00E518DE">
      <w:pPr>
        <w:jc w:val="both"/>
        <w:rPr>
          <w:sz w:val="10"/>
        </w:rPr>
      </w:pPr>
    </w:p>
    <w:p w:rsidR="00E518DE" w:rsidRPr="008A0E1E" w:rsidRDefault="00053698" w:rsidP="00834E5E">
      <w:pPr>
        <w:pStyle w:val="Ttulo4"/>
      </w:pPr>
      <w:r w:rsidRPr="008A0E1E">
        <w:t>6</w:t>
      </w:r>
      <w:r w:rsidR="00AE3BF0" w:rsidRPr="008A0E1E">
        <w:t xml:space="preserve">. </w:t>
      </w:r>
      <w:r w:rsidR="00E518DE" w:rsidRPr="008A0E1E">
        <w:t xml:space="preserve"> PASIVOS FINANCIEROS </w:t>
      </w:r>
    </w:p>
    <w:p w:rsidR="005A36D2" w:rsidRPr="00C10310" w:rsidRDefault="005A36D2" w:rsidP="005A36D2">
      <w:pPr>
        <w:jc w:val="both"/>
        <w:rPr>
          <w:u w:val="single"/>
        </w:rPr>
      </w:pPr>
      <w:r w:rsidRPr="00C10310">
        <w:rPr>
          <w:u w:val="single"/>
        </w:rPr>
        <w:t xml:space="preserve">Análisis </w:t>
      </w:r>
      <w:r>
        <w:rPr>
          <w:u w:val="single"/>
        </w:rPr>
        <w:t>de los pasivos</w:t>
      </w:r>
      <w:r w:rsidRPr="00C10310">
        <w:rPr>
          <w:u w:val="single"/>
        </w:rPr>
        <w:t xml:space="preserve"> financieros en el balance </w:t>
      </w:r>
    </w:p>
    <w:p w:rsidR="005A36D2" w:rsidRDefault="005A36D2" w:rsidP="005A36D2">
      <w:pPr>
        <w:jc w:val="both"/>
      </w:pPr>
      <w:r w:rsidRPr="00C10310">
        <w:lastRenderedPageBreak/>
        <w:t xml:space="preserve">Los </w:t>
      </w:r>
      <w:r>
        <w:t>pasivos</w:t>
      </w:r>
      <w:r w:rsidRPr="00C10310">
        <w:t xml:space="preserve"> financieros a corto plazo son los siguientes:</w:t>
      </w:r>
    </w:p>
    <w:p w:rsidR="0047692A" w:rsidRDefault="0047692A" w:rsidP="00E518DE">
      <w:pPr>
        <w:jc w:val="both"/>
      </w:pPr>
    </w:p>
    <w:tbl>
      <w:tblPr>
        <w:tblW w:w="8561" w:type="dxa"/>
        <w:tblInd w:w="135" w:type="dxa"/>
        <w:tblCellMar>
          <w:left w:w="70" w:type="dxa"/>
          <w:right w:w="70" w:type="dxa"/>
        </w:tblCellMar>
        <w:tblLook w:val="04A0"/>
      </w:tblPr>
      <w:tblGrid>
        <w:gridCol w:w="280"/>
        <w:gridCol w:w="3179"/>
        <w:gridCol w:w="1001"/>
        <w:gridCol w:w="517"/>
        <w:gridCol w:w="562"/>
        <w:gridCol w:w="562"/>
        <w:gridCol w:w="562"/>
        <w:gridCol w:w="933"/>
        <w:gridCol w:w="965"/>
      </w:tblGrid>
      <w:tr w:rsidR="00AE0B8B" w:rsidRPr="00AE0B8B" w:rsidTr="002D4834">
        <w:trPr>
          <w:trHeight w:val="300"/>
        </w:trPr>
        <w:tc>
          <w:tcPr>
            <w:tcW w:w="280" w:type="dxa"/>
            <w:tcBorders>
              <w:top w:val="nil"/>
              <w:left w:val="nil"/>
              <w:bottom w:val="nil"/>
              <w:right w:val="nil"/>
            </w:tcBorders>
            <w:shd w:val="clear" w:color="auto" w:fill="auto"/>
            <w:noWrap/>
            <w:vAlign w:val="bottom"/>
            <w:hideMark/>
          </w:tcPr>
          <w:p w:rsidR="00AE0B8B" w:rsidRPr="00AE0B8B" w:rsidRDefault="00AE0B8B" w:rsidP="00AE0B8B">
            <w:pPr>
              <w:spacing w:after="0" w:line="240" w:lineRule="auto"/>
              <w:rPr>
                <w:rFonts w:ascii="Times New Roman" w:eastAsia="Times New Roman" w:hAnsi="Times New Roman" w:cs="Times New Roman"/>
                <w:sz w:val="20"/>
                <w:szCs w:val="24"/>
                <w:lang w:eastAsia="es-ES"/>
              </w:rPr>
            </w:pPr>
          </w:p>
        </w:tc>
        <w:tc>
          <w:tcPr>
            <w:tcW w:w="3179" w:type="dxa"/>
            <w:tcBorders>
              <w:top w:val="nil"/>
              <w:left w:val="nil"/>
              <w:bottom w:val="nil"/>
              <w:right w:val="nil"/>
            </w:tcBorders>
            <w:shd w:val="clear" w:color="auto" w:fill="auto"/>
            <w:noWrap/>
            <w:vAlign w:val="bottom"/>
            <w:hideMark/>
          </w:tcPr>
          <w:p w:rsidR="00AE0B8B" w:rsidRPr="00AE0B8B" w:rsidRDefault="00AE0B8B" w:rsidP="00AE0B8B">
            <w:pPr>
              <w:spacing w:after="0" w:line="240" w:lineRule="auto"/>
              <w:rPr>
                <w:rFonts w:ascii="Times New Roman" w:eastAsia="Times New Roman" w:hAnsi="Times New Roman" w:cs="Times New Roman"/>
                <w:sz w:val="20"/>
                <w:szCs w:val="20"/>
                <w:lang w:eastAsia="es-ES"/>
              </w:rPr>
            </w:pPr>
          </w:p>
        </w:tc>
        <w:tc>
          <w:tcPr>
            <w:tcW w:w="51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B8B" w:rsidRPr="00AE0B8B" w:rsidRDefault="00AE0B8B" w:rsidP="00AE0B8B">
            <w:pPr>
              <w:spacing w:after="0" w:line="240" w:lineRule="auto"/>
              <w:ind w:right="2519"/>
              <w:jc w:val="right"/>
              <w:rPr>
                <w:rFonts w:ascii="Calibri" w:eastAsia="Times New Roman" w:hAnsi="Calibri" w:cs="Times New Roman"/>
                <w:color w:val="000000"/>
                <w:sz w:val="20"/>
                <w:lang w:eastAsia="es-ES"/>
              </w:rPr>
            </w:pPr>
            <w:r w:rsidRPr="00AE0B8B">
              <w:rPr>
                <w:rFonts w:ascii="Calibri" w:eastAsia="Times New Roman" w:hAnsi="Calibri" w:cs="Times New Roman"/>
                <w:color w:val="000000"/>
                <w:sz w:val="20"/>
                <w:lang w:eastAsia="es-ES"/>
              </w:rPr>
              <w:t>Vencimiento  en  años</w:t>
            </w:r>
          </w:p>
        </w:tc>
      </w:tr>
      <w:tr w:rsidR="00AE0B8B" w:rsidRPr="00AE0B8B" w:rsidTr="002D4834">
        <w:trPr>
          <w:trHeight w:val="300"/>
        </w:trPr>
        <w:tc>
          <w:tcPr>
            <w:tcW w:w="280" w:type="dxa"/>
            <w:tcBorders>
              <w:top w:val="nil"/>
              <w:left w:val="nil"/>
              <w:bottom w:val="nil"/>
              <w:right w:val="nil"/>
            </w:tcBorders>
            <w:shd w:val="clear" w:color="auto" w:fill="auto"/>
            <w:noWrap/>
            <w:vAlign w:val="bottom"/>
            <w:hideMark/>
          </w:tcPr>
          <w:p w:rsidR="00AE0B8B" w:rsidRPr="00AE0B8B" w:rsidRDefault="00AE0B8B" w:rsidP="00AE0B8B">
            <w:pPr>
              <w:spacing w:after="0" w:line="240" w:lineRule="auto"/>
              <w:jc w:val="center"/>
              <w:rPr>
                <w:rFonts w:ascii="Calibri" w:eastAsia="Times New Roman" w:hAnsi="Calibri" w:cs="Times New Roman"/>
                <w:color w:val="000000"/>
                <w:sz w:val="20"/>
                <w:lang w:eastAsia="es-ES"/>
              </w:rPr>
            </w:pPr>
          </w:p>
        </w:tc>
        <w:tc>
          <w:tcPr>
            <w:tcW w:w="3179" w:type="dxa"/>
            <w:tcBorders>
              <w:top w:val="nil"/>
              <w:left w:val="nil"/>
              <w:bottom w:val="nil"/>
              <w:right w:val="nil"/>
            </w:tcBorders>
            <w:shd w:val="clear" w:color="auto" w:fill="auto"/>
            <w:noWrap/>
            <w:vAlign w:val="bottom"/>
            <w:hideMark/>
          </w:tcPr>
          <w:p w:rsidR="00AE0B8B" w:rsidRPr="00AE0B8B" w:rsidRDefault="00AE0B8B" w:rsidP="00AE0B8B">
            <w:pPr>
              <w:spacing w:after="0" w:line="240" w:lineRule="auto"/>
              <w:rPr>
                <w:rFonts w:ascii="Times New Roman" w:eastAsia="Times New Roman" w:hAnsi="Times New Roman" w:cs="Times New Roman"/>
                <w:sz w:val="20"/>
                <w:szCs w:val="20"/>
                <w:lang w:eastAsia="es-E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jc w:val="center"/>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1</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jc w:val="center"/>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2</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jc w:val="center"/>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3</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jc w:val="center"/>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4</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jc w:val="center"/>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5</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jc w:val="center"/>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Más de  5</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jc w:val="center"/>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Total</w:t>
            </w:r>
          </w:p>
        </w:tc>
      </w:tr>
      <w:tr w:rsidR="00AE0B8B" w:rsidRPr="00AE0B8B" w:rsidTr="002D4834">
        <w:trPr>
          <w:trHeight w:val="300"/>
        </w:trPr>
        <w:tc>
          <w:tcPr>
            <w:tcW w:w="3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b/>
                <w:bCs/>
                <w:color w:val="000000"/>
                <w:sz w:val="18"/>
                <w:lang w:eastAsia="es-ES"/>
              </w:rPr>
            </w:pPr>
            <w:r w:rsidRPr="00AE0B8B">
              <w:rPr>
                <w:rFonts w:ascii="Calibri" w:eastAsia="Times New Roman" w:hAnsi="Calibri" w:cs="Times New Roman"/>
                <w:b/>
                <w:bCs/>
                <w:color w:val="000000"/>
                <w:sz w:val="18"/>
                <w:lang w:eastAsia="es-ES"/>
              </w:rPr>
              <w:t>Deudas</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3E43E5" w:rsidRDefault="00AE0B8B" w:rsidP="00053698">
            <w:pPr>
              <w:spacing w:after="0" w:line="240" w:lineRule="auto"/>
              <w:jc w:val="right"/>
              <w:rPr>
                <w:rFonts w:ascii="Calibri" w:eastAsia="Times New Roman" w:hAnsi="Calibri" w:cs="Times New Roman"/>
                <w:b/>
                <w:color w:val="000000"/>
                <w:sz w:val="18"/>
                <w:szCs w:val="20"/>
                <w:lang w:eastAsia="es-ES"/>
              </w:rPr>
            </w:pPr>
            <w:r w:rsidRPr="003E43E5">
              <w:rPr>
                <w:rFonts w:ascii="Calibri" w:eastAsia="Times New Roman" w:hAnsi="Calibri" w:cs="Times New Roman"/>
                <w:b/>
                <w:color w:val="000000"/>
                <w:sz w:val="18"/>
                <w:szCs w:val="20"/>
                <w:lang w:eastAsia="es-ES"/>
              </w:rPr>
              <w:t> </w:t>
            </w:r>
            <w:r w:rsidR="008323B7" w:rsidRPr="003E43E5">
              <w:rPr>
                <w:rFonts w:ascii="Calibri" w:eastAsia="Times New Roman" w:hAnsi="Calibri" w:cs="Times New Roman"/>
                <w:b/>
                <w:color w:val="000000"/>
                <w:sz w:val="18"/>
                <w:szCs w:val="20"/>
                <w:lang w:eastAsia="es-ES"/>
              </w:rPr>
              <w:t>0</w:t>
            </w:r>
            <w:r w:rsidR="003E43E5" w:rsidRPr="003E43E5">
              <w:rPr>
                <w:rFonts w:ascii="Calibri" w:eastAsia="Times New Roman" w:hAnsi="Calibri" w:cs="Times New Roman"/>
                <w:b/>
                <w:color w:val="000000"/>
                <w:sz w:val="18"/>
                <w:szCs w:val="20"/>
                <w:lang w:eastAsia="es-ES"/>
              </w:rPr>
              <w:t>,</w:t>
            </w:r>
            <w:r w:rsidR="008323B7" w:rsidRPr="003E43E5">
              <w:rPr>
                <w:rFonts w:ascii="Calibri" w:eastAsia="Times New Roman" w:hAnsi="Calibri" w:cs="Times New Roman"/>
                <w:b/>
                <w:color w:val="000000"/>
                <w:sz w:val="18"/>
                <w:szCs w:val="20"/>
                <w:lang w:eastAsia="es-ES"/>
              </w:rPr>
              <w:t>01</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3E43E5" w:rsidP="003E43E5">
            <w:pPr>
              <w:spacing w:after="0" w:line="240" w:lineRule="auto"/>
              <w:jc w:val="right"/>
              <w:rPr>
                <w:rFonts w:ascii="Calibri" w:eastAsia="Times New Roman" w:hAnsi="Calibri" w:cs="Times New Roman"/>
                <w:color w:val="000000"/>
                <w:sz w:val="18"/>
                <w:szCs w:val="20"/>
                <w:lang w:eastAsia="es-ES"/>
              </w:rPr>
            </w:pPr>
            <w:r w:rsidRPr="003E43E5">
              <w:rPr>
                <w:rFonts w:ascii="Calibri" w:eastAsia="Times New Roman" w:hAnsi="Calibri" w:cs="Times New Roman"/>
                <w:b/>
                <w:color w:val="000000"/>
                <w:sz w:val="18"/>
                <w:szCs w:val="20"/>
                <w:lang w:eastAsia="es-ES"/>
              </w:rPr>
              <w:t> 0,01</w:t>
            </w:r>
          </w:p>
        </w:tc>
      </w:tr>
      <w:tr w:rsidR="00AE0B8B"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Obligaciones y otros valores negociables</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053698">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3E43E5">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0,00</w:t>
            </w:r>
          </w:p>
        </w:tc>
      </w:tr>
      <w:tr w:rsidR="00AE0B8B"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Deudas con entidades de crédito</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053698">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3E43E5">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0,00</w:t>
            </w:r>
          </w:p>
        </w:tc>
      </w:tr>
      <w:tr w:rsidR="00AE0B8B"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Acreedores por arrendamiento financiero</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053698">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3E43E5">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0,00</w:t>
            </w:r>
          </w:p>
        </w:tc>
      </w:tr>
      <w:tr w:rsidR="00AE0B8B"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Derivados</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053698">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3E43E5">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0,00</w:t>
            </w:r>
          </w:p>
        </w:tc>
      </w:tr>
      <w:tr w:rsidR="00AE0B8B"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Otros pasivos financieros</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3E43E5" w:rsidP="00053698">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0,01</w:t>
            </w:r>
            <w:r w:rsidR="00AE0B8B" w:rsidRPr="00AE0B8B">
              <w:rPr>
                <w:rFonts w:ascii="Calibri" w:eastAsia="Times New Roman" w:hAnsi="Calibri" w:cs="Times New Roman"/>
                <w:color w:val="000000"/>
                <w:sz w:val="18"/>
                <w:szCs w:val="20"/>
                <w:lang w:eastAsia="es-ES"/>
              </w:rPr>
              <w:t> </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3E43E5" w:rsidP="003E43E5">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0,01</w:t>
            </w:r>
          </w:p>
        </w:tc>
      </w:tr>
      <w:tr w:rsidR="00AE0B8B" w:rsidRPr="00AE0B8B" w:rsidTr="002D4834">
        <w:trPr>
          <w:trHeight w:val="300"/>
        </w:trPr>
        <w:tc>
          <w:tcPr>
            <w:tcW w:w="3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b/>
                <w:bCs/>
                <w:color w:val="000000"/>
                <w:sz w:val="18"/>
                <w:lang w:eastAsia="es-ES"/>
              </w:rPr>
            </w:pPr>
            <w:r w:rsidRPr="00AE0B8B">
              <w:rPr>
                <w:rFonts w:ascii="Calibri" w:eastAsia="Times New Roman" w:hAnsi="Calibri" w:cs="Times New Roman"/>
                <w:b/>
                <w:bCs/>
                <w:color w:val="000000"/>
                <w:sz w:val="18"/>
                <w:lang w:eastAsia="es-ES"/>
              </w:rPr>
              <w:t>Deudas con empresas grupo y asociadas</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053698">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3E43E5">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0,00</w:t>
            </w:r>
          </w:p>
        </w:tc>
      </w:tr>
      <w:tr w:rsidR="00AB3210" w:rsidRPr="00AE0B8B" w:rsidTr="002D4834">
        <w:trPr>
          <w:trHeight w:val="300"/>
        </w:trPr>
        <w:tc>
          <w:tcPr>
            <w:tcW w:w="3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b/>
                <w:bCs/>
                <w:color w:val="000000"/>
                <w:sz w:val="18"/>
                <w:lang w:eastAsia="es-ES"/>
              </w:rPr>
            </w:pPr>
            <w:r w:rsidRPr="00AE0B8B">
              <w:rPr>
                <w:rFonts w:ascii="Calibri" w:eastAsia="Times New Roman" w:hAnsi="Calibri" w:cs="Times New Roman"/>
                <w:b/>
                <w:bCs/>
                <w:color w:val="000000"/>
                <w:sz w:val="18"/>
                <w:lang w:eastAsia="es-ES"/>
              </w:rPr>
              <w:t>Acreedores comerciales</w:t>
            </w:r>
          </w:p>
        </w:tc>
        <w:tc>
          <w:tcPr>
            <w:tcW w:w="1001" w:type="dxa"/>
            <w:tcBorders>
              <w:top w:val="nil"/>
              <w:left w:val="nil"/>
              <w:bottom w:val="single" w:sz="4" w:space="0" w:color="auto"/>
              <w:right w:val="single" w:sz="4" w:space="0" w:color="auto"/>
            </w:tcBorders>
            <w:shd w:val="clear" w:color="auto" w:fill="auto"/>
            <w:noWrap/>
            <w:vAlign w:val="bottom"/>
            <w:hideMark/>
          </w:tcPr>
          <w:p w:rsidR="00AB3210" w:rsidRPr="003E43E5" w:rsidRDefault="00AB3210" w:rsidP="003E7459">
            <w:pPr>
              <w:spacing w:after="0" w:line="240" w:lineRule="auto"/>
              <w:jc w:val="right"/>
              <w:rPr>
                <w:rFonts w:ascii="Calibri" w:eastAsia="Times New Roman" w:hAnsi="Calibri" w:cs="Times New Roman"/>
                <w:b/>
                <w:color w:val="000000"/>
                <w:sz w:val="18"/>
                <w:szCs w:val="20"/>
                <w:lang w:eastAsia="es-ES"/>
              </w:rPr>
            </w:pPr>
            <w:r>
              <w:rPr>
                <w:rFonts w:ascii="Calibri" w:eastAsia="Times New Roman" w:hAnsi="Calibri" w:cs="Times New Roman"/>
                <w:b/>
                <w:color w:val="000000"/>
                <w:sz w:val="18"/>
                <w:szCs w:val="20"/>
                <w:lang w:eastAsia="es-ES"/>
              </w:rPr>
              <w:t>393.504,21</w:t>
            </w:r>
          </w:p>
        </w:tc>
        <w:tc>
          <w:tcPr>
            <w:tcW w:w="517"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B3210" w:rsidRPr="003E43E5" w:rsidRDefault="00AB3210" w:rsidP="00AB3210">
            <w:pPr>
              <w:spacing w:after="0" w:line="240" w:lineRule="auto"/>
              <w:jc w:val="right"/>
              <w:rPr>
                <w:rFonts w:ascii="Calibri" w:eastAsia="Times New Roman" w:hAnsi="Calibri" w:cs="Times New Roman"/>
                <w:b/>
                <w:color w:val="000000"/>
                <w:sz w:val="18"/>
                <w:szCs w:val="20"/>
                <w:lang w:eastAsia="es-ES"/>
              </w:rPr>
            </w:pPr>
            <w:r>
              <w:rPr>
                <w:rFonts w:ascii="Calibri" w:eastAsia="Times New Roman" w:hAnsi="Calibri" w:cs="Times New Roman"/>
                <w:b/>
                <w:color w:val="000000"/>
                <w:sz w:val="18"/>
                <w:szCs w:val="20"/>
                <w:lang w:eastAsia="es-ES"/>
              </w:rPr>
              <w:t>393.504,21</w:t>
            </w:r>
          </w:p>
        </w:tc>
      </w:tr>
      <w:tr w:rsidR="00AE0B8B"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Proveedores</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053698">
            <w:pPr>
              <w:spacing w:after="0" w:line="240" w:lineRule="auto"/>
              <w:jc w:val="right"/>
              <w:rPr>
                <w:rFonts w:ascii="Calibri" w:eastAsia="Times New Roman" w:hAnsi="Calibri" w:cs="Times New Roman"/>
                <w:color w:val="000000"/>
                <w:sz w:val="18"/>
                <w:szCs w:val="20"/>
                <w:lang w:eastAsia="es-ES"/>
              </w:rPr>
            </w:pP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3E43E5" w:rsidP="003E43E5">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0,00</w:t>
            </w:r>
          </w:p>
        </w:tc>
      </w:tr>
      <w:tr w:rsidR="00AE0B8B"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AE0B8B" w:rsidRPr="002D4834" w:rsidRDefault="00AE0B8B" w:rsidP="00AE0B8B">
            <w:pPr>
              <w:spacing w:after="0" w:line="240" w:lineRule="auto"/>
              <w:rPr>
                <w:rFonts w:ascii="Calibri" w:eastAsia="Times New Roman" w:hAnsi="Calibri" w:cs="Times New Roman"/>
                <w:color w:val="000000"/>
                <w:sz w:val="18"/>
                <w:lang w:eastAsia="es-ES"/>
              </w:rPr>
            </w:pPr>
            <w:r w:rsidRPr="002D4834">
              <w:rPr>
                <w:rFonts w:ascii="Calibri" w:eastAsia="Times New Roman" w:hAnsi="Calibri" w:cs="Times New Roman"/>
                <w:color w:val="000000"/>
                <w:sz w:val="18"/>
                <w:lang w:eastAsia="es-ES"/>
              </w:rPr>
              <w:t>Acreedores</w:t>
            </w:r>
          </w:p>
        </w:tc>
        <w:tc>
          <w:tcPr>
            <w:tcW w:w="1001"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053698">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r w:rsidR="003E43E5">
              <w:rPr>
                <w:rFonts w:ascii="Calibri" w:eastAsia="Times New Roman" w:hAnsi="Calibri" w:cs="Times New Roman"/>
                <w:color w:val="000000"/>
                <w:sz w:val="18"/>
                <w:szCs w:val="20"/>
                <w:lang w:eastAsia="es-ES"/>
              </w:rPr>
              <w:t>389.351,02</w:t>
            </w:r>
          </w:p>
        </w:tc>
        <w:tc>
          <w:tcPr>
            <w:tcW w:w="517"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E0B8B" w:rsidRPr="00AE0B8B" w:rsidRDefault="00AE0B8B"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E0B8B" w:rsidRPr="00AE0B8B" w:rsidRDefault="003E43E5" w:rsidP="003E43E5">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389.351,02</w:t>
            </w:r>
          </w:p>
        </w:tc>
      </w:tr>
      <w:tr w:rsidR="002D4834"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Personal</w:t>
            </w:r>
          </w:p>
        </w:tc>
        <w:tc>
          <w:tcPr>
            <w:tcW w:w="1001"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053698">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2.487,36</w:t>
            </w:r>
          </w:p>
        </w:tc>
        <w:tc>
          <w:tcPr>
            <w:tcW w:w="517"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3E7459">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2.487,36</w:t>
            </w:r>
          </w:p>
        </w:tc>
      </w:tr>
      <w:tr w:rsidR="002D4834" w:rsidRPr="00AE0B8B" w:rsidTr="002D4834">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 </w:t>
            </w:r>
          </w:p>
        </w:tc>
        <w:tc>
          <w:tcPr>
            <w:tcW w:w="3179"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lang w:eastAsia="es-ES"/>
              </w:rPr>
            </w:pPr>
            <w:r w:rsidRPr="00AE0B8B">
              <w:rPr>
                <w:rFonts w:ascii="Calibri" w:eastAsia="Times New Roman" w:hAnsi="Calibri" w:cs="Times New Roman"/>
                <w:color w:val="000000"/>
                <w:sz w:val="18"/>
                <w:lang w:eastAsia="es-ES"/>
              </w:rPr>
              <w:t>Anticipos clientes</w:t>
            </w:r>
          </w:p>
        </w:tc>
        <w:tc>
          <w:tcPr>
            <w:tcW w:w="1001"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3E7459">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1.665,83</w:t>
            </w:r>
          </w:p>
        </w:tc>
        <w:tc>
          <w:tcPr>
            <w:tcW w:w="517"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3E7459">
            <w:pPr>
              <w:spacing w:after="0" w:line="240" w:lineRule="auto"/>
              <w:jc w:val="right"/>
              <w:rPr>
                <w:rFonts w:ascii="Calibri" w:eastAsia="Times New Roman" w:hAnsi="Calibri" w:cs="Times New Roman"/>
                <w:color w:val="000000"/>
                <w:sz w:val="18"/>
                <w:szCs w:val="20"/>
                <w:lang w:eastAsia="es-ES"/>
              </w:rPr>
            </w:pPr>
            <w:r>
              <w:rPr>
                <w:rFonts w:ascii="Calibri" w:eastAsia="Times New Roman" w:hAnsi="Calibri" w:cs="Times New Roman"/>
                <w:color w:val="000000"/>
                <w:sz w:val="18"/>
                <w:szCs w:val="20"/>
                <w:lang w:eastAsia="es-ES"/>
              </w:rPr>
              <w:t>1.665,83</w:t>
            </w:r>
          </w:p>
        </w:tc>
      </w:tr>
      <w:tr w:rsidR="002D4834" w:rsidRPr="00AE0B8B" w:rsidTr="002D4834">
        <w:trPr>
          <w:trHeight w:val="300"/>
        </w:trPr>
        <w:tc>
          <w:tcPr>
            <w:tcW w:w="3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b/>
                <w:bCs/>
                <w:color w:val="000000"/>
                <w:sz w:val="18"/>
                <w:lang w:eastAsia="es-ES"/>
              </w:rPr>
            </w:pPr>
            <w:r w:rsidRPr="00AE0B8B">
              <w:rPr>
                <w:rFonts w:ascii="Calibri" w:eastAsia="Times New Roman" w:hAnsi="Calibri" w:cs="Times New Roman"/>
                <w:b/>
                <w:bCs/>
                <w:color w:val="000000"/>
                <w:sz w:val="18"/>
                <w:lang w:eastAsia="es-ES"/>
              </w:rPr>
              <w:t>Deuda características especiales</w:t>
            </w:r>
          </w:p>
        </w:tc>
        <w:tc>
          <w:tcPr>
            <w:tcW w:w="1001"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053698">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17"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2D4834" w:rsidRPr="00AE0B8B" w:rsidRDefault="002D4834" w:rsidP="003E43E5">
            <w:pPr>
              <w:spacing w:after="0" w:line="240" w:lineRule="auto"/>
              <w:jc w:val="right"/>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0,00</w:t>
            </w:r>
          </w:p>
        </w:tc>
      </w:tr>
      <w:tr w:rsidR="00AB3210" w:rsidRPr="00AE0B8B" w:rsidTr="002D4834">
        <w:trPr>
          <w:trHeight w:val="300"/>
        </w:trPr>
        <w:tc>
          <w:tcPr>
            <w:tcW w:w="3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b/>
                <w:bCs/>
                <w:color w:val="000000"/>
                <w:sz w:val="18"/>
                <w:lang w:eastAsia="es-ES"/>
              </w:rPr>
            </w:pPr>
            <w:r w:rsidRPr="00AE0B8B">
              <w:rPr>
                <w:rFonts w:ascii="Calibri" w:eastAsia="Times New Roman" w:hAnsi="Calibri" w:cs="Times New Roman"/>
                <w:b/>
                <w:bCs/>
                <w:color w:val="000000"/>
                <w:sz w:val="18"/>
                <w:lang w:eastAsia="es-ES"/>
              </w:rPr>
              <w:t>TOTAL</w:t>
            </w:r>
          </w:p>
        </w:tc>
        <w:tc>
          <w:tcPr>
            <w:tcW w:w="1001" w:type="dxa"/>
            <w:tcBorders>
              <w:top w:val="nil"/>
              <w:left w:val="nil"/>
              <w:bottom w:val="single" w:sz="4" w:space="0" w:color="auto"/>
              <w:right w:val="single" w:sz="4" w:space="0" w:color="auto"/>
            </w:tcBorders>
            <w:shd w:val="clear" w:color="auto" w:fill="auto"/>
            <w:noWrap/>
            <w:vAlign w:val="bottom"/>
            <w:hideMark/>
          </w:tcPr>
          <w:p w:rsidR="00AB3210" w:rsidRPr="003E43E5" w:rsidRDefault="00AB3210" w:rsidP="00053698">
            <w:pPr>
              <w:spacing w:after="0" w:line="240" w:lineRule="auto"/>
              <w:jc w:val="right"/>
              <w:rPr>
                <w:rFonts w:ascii="Calibri" w:eastAsia="Times New Roman" w:hAnsi="Calibri" w:cs="Times New Roman"/>
                <w:b/>
                <w:color w:val="000000"/>
                <w:sz w:val="18"/>
                <w:szCs w:val="20"/>
                <w:lang w:eastAsia="es-ES"/>
              </w:rPr>
            </w:pPr>
            <w:r>
              <w:rPr>
                <w:rFonts w:ascii="Calibri" w:eastAsia="Times New Roman" w:hAnsi="Calibri" w:cs="Times New Roman"/>
                <w:b/>
                <w:color w:val="000000"/>
                <w:sz w:val="18"/>
                <w:szCs w:val="20"/>
                <w:lang w:eastAsia="es-ES"/>
              </w:rPr>
              <w:t>393.504,22</w:t>
            </w:r>
          </w:p>
        </w:tc>
        <w:tc>
          <w:tcPr>
            <w:tcW w:w="517"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2A1C49">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562"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33" w:type="dxa"/>
            <w:tcBorders>
              <w:top w:val="nil"/>
              <w:left w:val="nil"/>
              <w:bottom w:val="single" w:sz="4" w:space="0" w:color="auto"/>
              <w:right w:val="single" w:sz="4" w:space="0" w:color="auto"/>
            </w:tcBorders>
            <w:shd w:val="clear" w:color="auto" w:fill="auto"/>
            <w:noWrap/>
            <w:vAlign w:val="bottom"/>
            <w:hideMark/>
          </w:tcPr>
          <w:p w:rsidR="00AB3210" w:rsidRPr="00AE0B8B" w:rsidRDefault="00AB3210" w:rsidP="00AE0B8B">
            <w:pPr>
              <w:spacing w:after="0" w:line="240" w:lineRule="auto"/>
              <w:rPr>
                <w:rFonts w:ascii="Calibri" w:eastAsia="Times New Roman" w:hAnsi="Calibri" w:cs="Times New Roman"/>
                <w:color w:val="000000"/>
                <w:sz w:val="18"/>
                <w:szCs w:val="20"/>
                <w:lang w:eastAsia="es-ES"/>
              </w:rPr>
            </w:pPr>
            <w:r w:rsidRPr="00AE0B8B">
              <w:rPr>
                <w:rFonts w:ascii="Calibri" w:eastAsia="Times New Roman" w:hAnsi="Calibri" w:cs="Times New Roman"/>
                <w:color w:val="000000"/>
                <w:sz w:val="18"/>
                <w:szCs w:val="20"/>
                <w:lang w:eastAsia="es-ES"/>
              </w:rPr>
              <w:t> </w:t>
            </w:r>
          </w:p>
        </w:tc>
        <w:tc>
          <w:tcPr>
            <w:tcW w:w="965" w:type="dxa"/>
            <w:tcBorders>
              <w:top w:val="nil"/>
              <w:left w:val="nil"/>
              <w:bottom w:val="single" w:sz="4" w:space="0" w:color="auto"/>
              <w:right w:val="single" w:sz="4" w:space="0" w:color="auto"/>
            </w:tcBorders>
            <w:shd w:val="clear" w:color="auto" w:fill="auto"/>
            <w:noWrap/>
            <w:vAlign w:val="bottom"/>
            <w:hideMark/>
          </w:tcPr>
          <w:p w:rsidR="00AB3210" w:rsidRPr="003E43E5" w:rsidRDefault="00AB3210" w:rsidP="00AB3210">
            <w:pPr>
              <w:spacing w:after="0" w:line="240" w:lineRule="auto"/>
              <w:jc w:val="right"/>
              <w:rPr>
                <w:rFonts w:ascii="Calibri" w:eastAsia="Times New Roman" w:hAnsi="Calibri" w:cs="Times New Roman"/>
                <w:b/>
                <w:color w:val="000000"/>
                <w:sz w:val="18"/>
                <w:szCs w:val="20"/>
                <w:lang w:eastAsia="es-ES"/>
              </w:rPr>
            </w:pPr>
            <w:r>
              <w:rPr>
                <w:rFonts w:ascii="Calibri" w:eastAsia="Times New Roman" w:hAnsi="Calibri" w:cs="Times New Roman"/>
                <w:b/>
                <w:color w:val="000000"/>
                <w:sz w:val="18"/>
                <w:szCs w:val="20"/>
                <w:lang w:eastAsia="es-ES"/>
              </w:rPr>
              <w:t>393.504,22</w:t>
            </w:r>
          </w:p>
        </w:tc>
      </w:tr>
    </w:tbl>
    <w:p w:rsidR="00234FE5" w:rsidRDefault="00234FE5" w:rsidP="00CC2A97">
      <w:pPr>
        <w:jc w:val="both"/>
      </w:pPr>
    </w:p>
    <w:p w:rsidR="0047692A" w:rsidRDefault="005A36D2" w:rsidP="00CC2A97">
      <w:pPr>
        <w:jc w:val="both"/>
      </w:pPr>
      <w:r>
        <w:t>No existen desudas a largo plazo en el pasivo del balance.</w:t>
      </w:r>
    </w:p>
    <w:p w:rsidR="005A36D2" w:rsidRDefault="005A36D2" w:rsidP="00CC2A97">
      <w:pPr>
        <w:jc w:val="both"/>
      </w:pPr>
      <w:r>
        <w:t>La empresa no mantiene ninguna línea de descuento.</w:t>
      </w:r>
    </w:p>
    <w:p w:rsidR="005A36D2" w:rsidRDefault="005A36D2" w:rsidP="00CC2A97">
      <w:pPr>
        <w:jc w:val="both"/>
      </w:pPr>
      <w:r>
        <w:t>No se mantiene ningún tipo de pólizas de crédito con ninguna entidad bancaria.</w:t>
      </w:r>
    </w:p>
    <w:p w:rsidR="00D82033" w:rsidRDefault="00D82033" w:rsidP="00D82033">
      <w:pPr>
        <w:jc w:val="both"/>
      </w:pPr>
      <w:r w:rsidRPr="00D82033">
        <w:t xml:space="preserve">De acuerdo a lo establecido en la Ley 15/2010, de 5 de julio de medidas de lucha contra la morosidad en las operaciones comerciales, se trata de mantener el período medio de pago en un máximo de 30 días. </w:t>
      </w:r>
    </w:p>
    <w:p w:rsidR="00234FE5" w:rsidRDefault="00234FE5" w:rsidP="00D82033">
      <w:pPr>
        <w:jc w:val="both"/>
      </w:pPr>
    </w:p>
    <w:tbl>
      <w:tblPr>
        <w:tblW w:w="7180" w:type="dxa"/>
        <w:tblInd w:w="5" w:type="dxa"/>
        <w:tblCellMar>
          <w:left w:w="70" w:type="dxa"/>
          <w:right w:w="70" w:type="dxa"/>
        </w:tblCellMar>
        <w:tblLook w:val="04A0"/>
      </w:tblPr>
      <w:tblGrid>
        <w:gridCol w:w="4240"/>
        <w:gridCol w:w="1420"/>
        <w:gridCol w:w="1520"/>
      </w:tblGrid>
      <w:tr w:rsidR="00D82033" w:rsidRPr="00D82033" w:rsidTr="00D82033">
        <w:trPr>
          <w:trHeight w:val="300"/>
        </w:trPr>
        <w:tc>
          <w:tcPr>
            <w:tcW w:w="4240" w:type="dxa"/>
            <w:tcBorders>
              <w:top w:val="nil"/>
              <w:left w:val="nil"/>
              <w:bottom w:val="nil"/>
              <w:right w:val="nil"/>
            </w:tcBorders>
            <w:shd w:val="clear" w:color="auto" w:fill="auto"/>
            <w:noWrap/>
            <w:vAlign w:val="bottom"/>
            <w:hideMark/>
          </w:tcPr>
          <w:p w:rsidR="00D82033" w:rsidRPr="00D82033" w:rsidRDefault="00D82033" w:rsidP="00D82033">
            <w:pPr>
              <w:spacing w:after="0" w:line="240" w:lineRule="auto"/>
              <w:rPr>
                <w:rFonts w:ascii="Times New Roman" w:eastAsia="Times New Roman" w:hAnsi="Times New Roman" w:cs="Times New Roman"/>
                <w:sz w:val="24"/>
                <w:szCs w:val="24"/>
                <w:lang w:eastAsia="es-ES"/>
              </w:rPr>
            </w:pPr>
          </w:p>
        </w:tc>
        <w:tc>
          <w:tcPr>
            <w:tcW w:w="1420" w:type="dxa"/>
            <w:tcBorders>
              <w:top w:val="nil"/>
              <w:left w:val="nil"/>
              <w:bottom w:val="nil"/>
              <w:right w:val="nil"/>
            </w:tcBorders>
            <w:shd w:val="clear" w:color="auto" w:fill="auto"/>
            <w:noWrap/>
            <w:vAlign w:val="bottom"/>
            <w:hideMark/>
          </w:tcPr>
          <w:p w:rsidR="00D82033" w:rsidRPr="00D82033" w:rsidRDefault="00D82033" w:rsidP="00D82033">
            <w:pPr>
              <w:spacing w:after="0" w:line="240" w:lineRule="auto"/>
              <w:jc w:val="center"/>
              <w:rPr>
                <w:rFonts w:ascii="Calibri" w:eastAsia="Times New Roman" w:hAnsi="Calibri" w:cs="Times New Roman"/>
                <w:color w:val="000000"/>
                <w:lang w:eastAsia="es-ES"/>
              </w:rPr>
            </w:pPr>
            <w:r w:rsidRPr="00D82033">
              <w:rPr>
                <w:rFonts w:ascii="Calibri" w:eastAsia="Times New Roman" w:hAnsi="Calibri" w:cs="Times New Roman"/>
                <w:color w:val="000000"/>
                <w:lang w:eastAsia="es-ES"/>
              </w:rPr>
              <w:t>2017</w:t>
            </w:r>
          </w:p>
        </w:tc>
        <w:tc>
          <w:tcPr>
            <w:tcW w:w="1520" w:type="dxa"/>
            <w:tcBorders>
              <w:top w:val="nil"/>
              <w:left w:val="nil"/>
              <w:bottom w:val="nil"/>
              <w:right w:val="nil"/>
            </w:tcBorders>
            <w:shd w:val="clear" w:color="auto" w:fill="auto"/>
            <w:noWrap/>
            <w:vAlign w:val="bottom"/>
            <w:hideMark/>
          </w:tcPr>
          <w:p w:rsidR="00D82033" w:rsidRPr="00D82033" w:rsidRDefault="00D82033" w:rsidP="00D82033">
            <w:pPr>
              <w:spacing w:after="0" w:line="240" w:lineRule="auto"/>
              <w:jc w:val="center"/>
              <w:rPr>
                <w:rFonts w:ascii="Calibri" w:eastAsia="Times New Roman" w:hAnsi="Calibri" w:cs="Times New Roman"/>
                <w:color w:val="000000"/>
                <w:lang w:eastAsia="es-ES"/>
              </w:rPr>
            </w:pPr>
            <w:r w:rsidRPr="00D82033">
              <w:rPr>
                <w:rFonts w:ascii="Calibri" w:eastAsia="Times New Roman" w:hAnsi="Calibri" w:cs="Times New Roman"/>
                <w:color w:val="000000"/>
                <w:lang w:eastAsia="es-ES"/>
              </w:rPr>
              <w:t>2.016</w:t>
            </w:r>
          </w:p>
        </w:tc>
      </w:tr>
      <w:tr w:rsidR="00D82033" w:rsidRPr="00D82033" w:rsidTr="00D82033">
        <w:trPr>
          <w:trHeight w:val="49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033" w:rsidRPr="00D82033" w:rsidRDefault="00D82033" w:rsidP="00D82033">
            <w:pPr>
              <w:spacing w:after="0" w:line="240" w:lineRule="auto"/>
              <w:rPr>
                <w:rFonts w:ascii="Calibri" w:eastAsia="Times New Roman" w:hAnsi="Calibri" w:cs="Times New Roman"/>
                <w:color w:val="000000"/>
                <w:lang w:eastAsia="es-ES"/>
              </w:rPr>
            </w:pPr>
            <w:r w:rsidRPr="00D82033">
              <w:rPr>
                <w:rFonts w:ascii="Calibri" w:eastAsia="Times New Roman" w:hAnsi="Calibri" w:cs="Times New Roman"/>
                <w:color w:val="000000"/>
                <w:lang w:eastAsia="es-ES"/>
              </w:rPr>
              <w:t>Periodo medio de pago proveedores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82033" w:rsidRPr="00D82033" w:rsidRDefault="00D0697B" w:rsidP="00D82033">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36,19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82033" w:rsidRPr="00D82033" w:rsidRDefault="00D82033" w:rsidP="00D82033">
            <w:pPr>
              <w:spacing w:after="0" w:line="240" w:lineRule="auto"/>
              <w:jc w:val="center"/>
              <w:rPr>
                <w:rFonts w:ascii="Calibri" w:eastAsia="Times New Roman" w:hAnsi="Calibri" w:cs="Times New Roman"/>
                <w:color w:val="000000"/>
                <w:lang w:eastAsia="es-ES"/>
              </w:rPr>
            </w:pPr>
            <w:r w:rsidRPr="00D82033">
              <w:rPr>
                <w:rFonts w:ascii="Calibri" w:eastAsia="Times New Roman" w:hAnsi="Calibri" w:cs="Times New Roman"/>
                <w:color w:val="000000"/>
                <w:lang w:eastAsia="es-ES"/>
              </w:rPr>
              <w:t>19,806</w:t>
            </w:r>
          </w:p>
        </w:tc>
      </w:tr>
    </w:tbl>
    <w:p w:rsidR="00D82033" w:rsidRDefault="00D82033" w:rsidP="00D82033">
      <w:pPr>
        <w:jc w:val="both"/>
      </w:pPr>
    </w:p>
    <w:p w:rsidR="00D82033" w:rsidRDefault="00D82033" w:rsidP="00D82033">
      <w:pPr>
        <w:jc w:val="both"/>
      </w:pPr>
      <w:r w:rsidRPr="00D82033">
        <w:t xml:space="preserve">Los importes que figuran en las partidas de “Acreedores” del Balance no muestran saldos pendientes de pago que acumulen un aplazamiento superior al permitido por la Ley. </w:t>
      </w:r>
    </w:p>
    <w:p w:rsidR="00053698" w:rsidRPr="008A0E1E" w:rsidRDefault="00053698" w:rsidP="00D82033">
      <w:pPr>
        <w:pStyle w:val="Ttulo4"/>
      </w:pPr>
      <w:r w:rsidRPr="008A0E1E">
        <w:t>7</w:t>
      </w:r>
      <w:r w:rsidR="00AE3BF0" w:rsidRPr="008A0E1E">
        <w:t>.</w:t>
      </w:r>
      <w:r w:rsidRPr="008A0E1E">
        <w:t xml:space="preserve"> FONDOS PROPIOS</w:t>
      </w:r>
    </w:p>
    <w:p w:rsidR="00053698" w:rsidRPr="00053698" w:rsidRDefault="00053698" w:rsidP="00053698">
      <w:pPr>
        <w:jc w:val="both"/>
        <w:rPr>
          <w:u w:val="single"/>
        </w:rPr>
      </w:pPr>
      <w:r w:rsidRPr="00053698">
        <w:rPr>
          <w:u w:val="single"/>
        </w:rPr>
        <w:t xml:space="preserve">Capital social </w:t>
      </w:r>
    </w:p>
    <w:p w:rsidR="00053698" w:rsidRDefault="00053698" w:rsidP="00053698">
      <w:pPr>
        <w:jc w:val="both"/>
      </w:pPr>
      <w:r w:rsidRPr="00053698">
        <w:t xml:space="preserve">El capital social de la empresa está representado por los títulos que a continuación se indican, a la fecha de cierre del ejercicio: </w:t>
      </w:r>
      <w:r w:rsidR="00AE3BF0" w:rsidRPr="0047692A">
        <w:t xml:space="preserve">  </w:t>
      </w:r>
    </w:p>
    <w:p w:rsidR="00053698" w:rsidRDefault="00053698" w:rsidP="00053698">
      <w:pPr>
        <w:jc w:val="both"/>
      </w:pPr>
    </w:p>
    <w:tbl>
      <w:tblPr>
        <w:tblW w:w="5060" w:type="dxa"/>
        <w:tblInd w:w="1717" w:type="dxa"/>
        <w:tblCellMar>
          <w:left w:w="70" w:type="dxa"/>
          <w:right w:w="70" w:type="dxa"/>
        </w:tblCellMar>
        <w:tblLook w:val="04A0"/>
      </w:tblPr>
      <w:tblGrid>
        <w:gridCol w:w="1200"/>
        <w:gridCol w:w="1200"/>
        <w:gridCol w:w="1200"/>
        <w:gridCol w:w="1460"/>
      </w:tblGrid>
      <w:tr w:rsidR="00053698" w:rsidRPr="00053698" w:rsidTr="00053698">
        <w:trPr>
          <w:trHeight w:val="39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3698" w:rsidRPr="00053698" w:rsidRDefault="00053698" w:rsidP="00053698">
            <w:pPr>
              <w:spacing w:after="0" w:line="240" w:lineRule="auto"/>
              <w:jc w:val="center"/>
              <w:rPr>
                <w:rFonts w:ascii="Calibri" w:eastAsia="Times New Roman" w:hAnsi="Calibri" w:cs="Times New Roman"/>
                <w:b/>
                <w:bCs/>
                <w:color w:val="000000"/>
                <w:sz w:val="20"/>
                <w:szCs w:val="20"/>
                <w:lang w:eastAsia="es-ES"/>
              </w:rPr>
            </w:pPr>
            <w:r w:rsidRPr="00053698">
              <w:rPr>
                <w:rFonts w:ascii="Calibri" w:eastAsia="Times New Roman" w:hAnsi="Calibri" w:cs="Times New Roman"/>
                <w:b/>
                <w:bCs/>
                <w:color w:val="000000"/>
                <w:sz w:val="20"/>
                <w:szCs w:val="20"/>
                <w:lang w:eastAsia="es-ES"/>
              </w:rPr>
              <w:lastRenderedPageBreak/>
              <w:t xml:space="preserve">Serie </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053698" w:rsidRPr="00053698" w:rsidRDefault="00053698" w:rsidP="00053698">
            <w:pPr>
              <w:spacing w:after="0" w:line="240" w:lineRule="auto"/>
              <w:jc w:val="center"/>
              <w:rPr>
                <w:rFonts w:ascii="Calibri" w:eastAsia="Times New Roman" w:hAnsi="Calibri" w:cs="Times New Roman"/>
                <w:b/>
                <w:bCs/>
                <w:color w:val="000000"/>
                <w:sz w:val="20"/>
                <w:szCs w:val="20"/>
                <w:lang w:eastAsia="es-ES"/>
              </w:rPr>
            </w:pPr>
            <w:r w:rsidRPr="00053698">
              <w:rPr>
                <w:rFonts w:ascii="Calibri" w:eastAsia="Times New Roman" w:hAnsi="Calibri" w:cs="Times New Roman"/>
                <w:b/>
                <w:bCs/>
                <w:color w:val="000000"/>
                <w:sz w:val="20"/>
                <w:szCs w:val="20"/>
                <w:lang w:eastAsia="es-ES"/>
              </w:rPr>
              <w:t>Títulos</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053698" w:rsidRPr="00053698" w:rsidRDefault="00053698" w:rsidP="00053698">
            <w:pPr>
              <w:spacing w:after="0" w:line="240" w:lineRule="auto"/>
              <w:jc w:val="center"/>
              <w:rPr>
                <w:rFonts w:ascii="Calibri" w:eastAsia="Times New Roman" w:hAnsi="Calibri" w:cs="Times New Roman"/>
                <w:b/>
                <w:bCs/>
                <w:color w:val="000000"/>
                <w:sz w:val="20"/>
                <w:szCs w:val="20"/>
                <w:lang w:eastAsia="es-ES"/>
              </w:rPr>
            </w:pPr>
            <w:r w:rsidRPr="00053698">
              <w:rPr>
                <w:rFonts w:ascii="Calibri" w:eastAsia="Times New Roman" w:hAnsi="Calibri" w:cs="Times New Roman"/>
                <w:b/>
                <w:bCs/>
                <w:color w:val="000000"/>
                <w:sz w:val="20"/>
                <w:szCs w:val="20"/>
                <w:lang w:eastAsia="es-ES"/>
              </w:rPr>
              <w:t>Nominal</w:t>
            </w:r>
          </w:p>
        </w:tc>
        <w:tc>
          <w:tcPr>
            <w:tcW w:w="1460" w:type="dxa"/>
            <w:tcBorders>
              <w:top w:val="single" w:sz="4" w:space="0" w:color="auto"/>
              <w:left w:val="nil"/>
              <w:bottom w:val="single" w:sz="4" w:space="0" w:color="auto"/>
              <w:right w:val="single" w:sz="4" w:space="0" w:color="auto"/>
            </w:tcBorders>
            <w:shd w:val="clear" w:color="000000" w:fill="BFBFBF"/>
            <w:noWrap/>
            <w:vAlign w:val="bottom"/>
            <w:hideMark/>
          </w:tcPr>
          <w:p w:rsidR="00053698" w:rsidRPr="00053698" w:rsidRDefault="00053698" w:rsidP="00053698">
            <w:pPr>
              <w:spacing w:after="0" w:line="240" w:lineRule="auto"/>
              <w:jc w:val="center"/>
              <w:rPr>
                <w:rFonts w:ascii="Calibri" w:eastAsia="Times New Roman" w:hAnsi="Calibri" w:cs="Times New Roman"/>
                <w:b/>
                <w:bCs/>
                <w:color w:val="000000"/>
                <w:sz w:val="20"/>
                <w:szCs w:val="20"/>
                <w:lang w:eastAsia="es-ES"/>
              </w:rPr>
            </w:pPr>
            <w:r w:rsidRPr="00053698">
              <w:rPr>
                <w:rFonts w:ascii="Calibri" w:eastAsia="Times New Roman" w:hAnsi="Calibri" w:cs="Times New Roman"/>
                <w:b/>
                <w:bCs/>
                <w:color w:val="000000"/>
                <w:sz w:val="20"/>
                <w:szCs w:val="20"/>
                <w:lang w:eastAsia="es-ES"/>
              </w:rPr>
              <w:t>Nominal Total</w:t>
            </w:r>
          </w:p>
        </w:tc>
      </w:tr>
      <w:tr w:rsidR="00053698" w:rsidRPr="00053698" w:rsidTr="00053698">
        <w:trPr>
          <w:trHeight w:val="4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3698" w:rsidRPr="00053698" w:rsidRDefault="00053698" w:rsidP="00053698">
            <w:pPr>
              <w:spacing w:after="0" w:line="240" w:lineRule="auto"/>
              <w:jc w:val="center"/>
              <w:rPr>
                <w:rFonts w:ascii="Calibri" w:eastAsia="Times New Roman" w:hAnsi="Calibri" w:cs="Times New Roman"/>
                <w:color w:val="000000"/>
                <w:sz w:val="20"/>
                <w:szCs w:val="20"/>
                <w:lang w:eastAsia="es-ES"/>
              </w:rPr>
            </w:pPr>
            <w:r w:rsidRPr="00053698">
              <w:rPr>
                <w:rFonts w:ascii="Calibri" w:eastAsia="Times New Roman" w:hAnsi="Calibri" w:cs="Times New Roman"/>
                <w:color w:val="000000"/>
                <w:sz w:val="20"/>
                <w:szCs w:val="20"/>
                <w:lang w:eastAsia="es-ES"/>
              </w:rPr>
              <w:t>A</w:t>
            </w:r>
          </w:p>
        </w:tc>
        <w:tc>
          <w:tcPr>
            <w:tcW w:w="1200" w:type="dxa"/>
            <w:tcBorders>
              <w:top w:val="nil"/>
              <w:left w:val="nil"/>
              <w:bottom w:val="single" w:sz="4" w:space="0" w:color="auto"/>
              <w:right w:val="single" w:sz="4" w:space="0" w:color="auto"/>
            </w:tcBorders>
            <w:shd w:val="clear" w:color="auto" w:fill="auto"/>
            <w:noWrap/>
            <w:vAlign w:val="bottom"/>
            <w:hideMark/>
          </w:tcPr>
          <w:p w:rsidR="00053698" w:rsidRPr="00053698" w:rsidRDefault="00053698" w:rsidP="00053698">
            <w:pPr>
              <w:spacing w:after="0" w:line="240" w:lineRule="auto"/>
              <w:jc w:val="center"/>
              <w:rPr>
                <w:rFonts w:ascii="Calibri" w:eastAsia="Times New Roman" w:hAnsi="Calibri" w:cs="Times New Roman"/>
                <w:color w:val="000000"/>
                <w:sz w:val="20"/>
                <w:szCs w:val="20"/>
                <w:lang w:eastAsia="es-ES"/>
              </w:rPr>
            </w:pPr>
            <w:r w:rsidRPr="00053698">
              <w:rPr>
                <w:rFonts w:ascii="Calibri" w:eastAsia="Times New Roman" w:hAnsi="Calibri" w:cs="Times New Roman"/>
                <w:color w:val="000000"/>
                <w:sz w:val="20"/>
                <w:szCs w:val="20"/>
                <w:lang w:eastAsia="es-ES"/>
              </w:rPr>
              <w:t>602</w:t>
            </w:r>
          </w:p>
        </w:tc>
        <w:tc>
          <w:tcPr>
            <w:tcW w:w="1200" w:type="dxa"/>
            <w:tcBorders>
              <w:top w:val="nil"/>
              <w:left w:val="nil"/>
              <w:bottom w:val="single" w:sz="4" w:space="0" w:color="auto"/>
              <w:right w:val="single" w:sz="4" w:space="0" w:color="auto"/>
            </w:tcBorders>
            <w:shd w:val="clear" w:color="auto" w:fill="auto"/>
            <w:noWrap/>
            <w:vAlign w:val="bottom"/>
            <w:hideMark/>
          </w:tcPr>
          <w:p w:rsidR="00053698" w:rsidRPr="00053698" w:rsidRDefault="00053698" w:rsidP="00053698">
            <w:pPr>
              <w:spacing w:after="0" w:line="240" w:lineRule="auto"/>
              <w:jc w:val="center"/>
              <w:rPr>
                <w:rFonts w:ascii="Calibri" w:eastAsia="Times New Roman" w:hAnsi="Calibri" w:cs="Times New Roman"/>
                <w:color w:val="000000"/>
                <w:sz w:val="20"/>
                <w:szCs w:val="20"/>
                <w:lang w:eastAsia="es-ES"/>
              </w:rPr>
            </w:pPr>
            <w:r w:rsidRPr="00053698">
              <w:rPr>
                <w:rFonts w:ascii="Calibri" w:eastAsia="Times New Roman" w:hAnsi="Calibri" w:cs="Times New Roman"/>
                <w:color w:val="000000"/>
                <w:sz w:val="20"/>
                <w:szCs w:val="20"/>
                <w:lang w:eastAsia="es-ES"/>
              </w:rPr>
              <w:t>100,00</w:t>
            </w:r>
          </w:p>
        </w:tc>
        <w:tc>
          <w:tcPr>
            <w:tcW w:w="1460" w:type="dxa"/>
            <w:tcBorders>
              <w:top w:val="nil"/>
              <w:left w:val="nil"/>
              <w:bottom w:val="single" w:sz="4" w:space="0" w:color="auto"/>
              <w:right w:val="single" w:sz="4" w:space="0" w:color="auto"/>
            </w:tcBorders>
            <w:shd w:val="clear" w:color="auto" w:fill="auto"/>
            <w:noWrap/>
            <w:vAlign w:val="bottom"/>
            <w:hideMark/>
          </w:tcPr>
          <w:p w:rsidR="00053698" w:rsidRPr="00053698" w:rsidRDefault="00053698" w:rsidP="00053698">
            <w:pPr>
              <w:spacing w:after="0" w:line="240" w:lineRule="auto"/>
              <w:jc w:val="center"/>
              <w:rPr>
                <w:rFonts w:ascii="Calibri" w:eastAsia="Times New Roman" w:hAnsi="Calibri" w:cs="Times New Roman"/>
                <w:color w:val="000000"/>
                <w:sz w:val="20"/>
                <w:szCs w:val="20"/>
                <w:lang w:eastAsia="es-ES"/>
              </w:rPr>
            </w:pPr>
            <w:r w:rsidRPr="00053698">
              <w:rPr>
                <w:rFonts w:ascii="Calibri" w:eastAsia="Times New Roman" w:hAnsi="Calibri" w:cs="Times New Roman"/>
                <w:color w:val="000000"/>
                <w:sz w:val="20"/>
                <w:szCs w:val="20"/>
                <w:lang w:eastAsia="es-ES"/>
              </w:rPr>
              <w:t>60.200,00</w:t>
            </w:r>
          </w:p>
        </w:tc>
      </w:tr>
    </w:tbl>
    <w:p w:rsidR="00053698" w:rsidRDefault="00053698" w:rsidP="00053698"/>
    <w:p w:rsidR="00053698" w:rsidRPr="00053698" w:rsidRDefault="00053698" w:rsidP="00053698">
      <w:pPr>
        <w:jc w:val="both"/>
      </w:pPr>
      <w:r w:rsidRPr="00053698">
        <w:t xml:space="preserve">El Capital Social de la Sociedad al cierre del ejercicio 2016 es de 60.200€ dividido en 602 acciones nominativas de 100 Euros de valor nominal, numeradas de la 1 a la 602, ambas inclusive, totalmente suscritas por el Instituto Tecnológico y de Energías Renovables, SA, teniendo desembolsado el 100% del mismo. </w:t>
      </w:r>
    </w:p>
    <w:p w:rsidR="00053698" w:rsidRDefault="00053698" w:rsidP="00053698">
      <w:pPr>
        <w:jc w:val="both"/>
      </w:pPr>
      <w:r w:rsidRPr="00053698">
        <w:t>A 31 de diciembre la sociedad no tiene acciones propias en su poder.</w:t>
      </w:r>
    </w:p>
    <w:p w:rsidR="00053698" w:rsidRDefault="0011179B" w:rsidP="00053698">
      <w:pPr>
        <w:jc w:val="both"/>
        <w:rPr>
          <w:u w:val="single"/>
        </w:rPr>
      </w:pPr>
      <w:r w:rsidRPr="0011179B">
        <w:rPr>
          <w:u w:val="single"/>
        </w:rPr>
        <w:t>Reservas:</w:t>
      </w:r>
    </w:p>
    <w:tbl>
      <w:tblPr>
        <w:tblW w:w="4740" w:type="dxa"/>
        <w:tblInd w:w="1878" w:type="dxa"/>
        <w:tblCellMar>
          <w:left w:w="70" w:type="dxa"/>
          <w:right w:w="70" w:type="dxa"/>
        </w:tblCellMar>
        <w:tblLook w:val="04A0"/>
      </w:tblPr>
      <w:tblGrid>
        <w:gridCol w:w="2080"/>
        <w:gridCol w:w="1200"/>
        <w:gridCol w:w="1460"/>
      </w:tblGrid>
      <w:tr w:rsidR="00427356" w:rsidRPr="00427356" w:rsidTr="00427356">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27356" w:rsidRPr="00427356" w:rsidRDefault="00427356" w:rsidP="00427356">
            <w:pPr>
              <w:spacing w:after="0" w:line="240" w:lineRule="auto"/>
              <w:jc w:val="center"/>
              <w:rPr>
                <w:rFonts w:ascii="Calibri" w:eastAsia="Times New Roman" w:hAnsi="Calibri" w:cs="Times New Roman"/>
                <w:b/>
                <w:bCs/>
                <w:color w:val="000000"/>
                <w:sz w:val="18"/>
                <w:szCs w:val="20"/>
                <w:lang w:eastAsia="es-ES"/>
              </w:rPr>
            </w:pPr>
            <w:r w:rsidRPr="00427356">
              <w:rPr>
                <w:rFonts w:ascii="Calibri" w:eastAsia="Times New Roman" w:hAnsi="Calibri" w:cs="Times New Roman"/>
                <w:b/>
                <w:bCs/>
                <w:color w:val="000000"/>
                <w:sz w:val="18"/>
                <w:szCs w:val="20"/>
                <w:lang w:eastAsia="es-ES"/>
              </w:rPr>
              <w:t>Reservas</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427356" w:rsidRPr="00427356" w:rsidRDefault="00427356" w:rsidP="00427356">
            <w:pPr>
              <w:spacing w:after="0" w:line="240" w:lineRule="auto"/>
              <w:jc w:val="center"/>
              <w:rPr>
                <w:rFonts w:ascii="Calibri" w:eastAsia="Times New Roman" w:hAnsi="Calibri" w:cs="Times New Roman"/>
                <w:b/>
                <w:bCs/>
                <w:color w:val="000000"/>
                <w:sz w:val="18"/>
                <w:szCs w:val="20"/>
                <w:lang w:eastAsia="es-ES"/>
              </w:rPr>
            </w:pPr>
            <w:r w:rsidRPr="00427356">
              <w:rPr>
                <w:rFonts w:ascii="Calibri" w:eastAsia="Times New Roman" w:hAnsi="Calibri" w:cs="Times New Roman"/>
                <w:b/>
                <w:bCs/>
                <w:color w:val="000000"/>
                <w:sz w:val="18"/>
                <w:szCs w:val="20"/>
                <w:lang w:eastAsia="es-ES"/>
              </w:rPr>
              <w:t>2017</w:t>
            </w:r>
          </w:p>
        </w:tc>
        <w:tc>
          <w:tcPr>
            <w:tcW w:w="1460" w:type="dxa"/>
            <w:tcBorders>
              <w:top w:val="single" w:sz="4" w:space="0" w:color="auto"/>
              <w:left w:val="nil"/>
              <w:bottom w:val="single" w:sz="4" w:space="0" w:color="auto"/>
              <w:right w:val="single" w:sz="4" w:space="0" w:color="auto"/>
            </w:tcBorders>
            <w:shd w:val="clear" w:color="000000" w:fill="BFBFBF"/>
            <w:noWrap/>
            <w:vAlign w:val="bottom"/>
            <w:hideMark/>
          </w:tcPr>
          <w:p w:rsidR="00427356" w:rsidRPr="00427356" w:rsidRDefault="00427356" w:rsidP="00427356">
            <w:pPr>
              <w:spacing w:after="0" w:line="240" w:lineRule="auto"/>
              <w:jc w:val="center"/>
              <w:rPr>
                <w:rFonts w:ascii="Calibri" w:eastAsia="Times New Roman" w:hAnsi="Calibri" w:cs="Times New Roman"/>
                <w:b/>
                <w:bCs/>
                <w:color w:val="000000"/>
                <w:sz w:val="18"/>
                <w:szCs w:val="20"/>
                <w:lang w:eastAsia="es-ES"/>
              </w:rPr>
            </w:pPr>
            <w:r w:rsidRPr="00427356">
              <w:rPr>
                <w:rFonts w:ascii="Calibri" w:eastAsia="Times New Roman" w:hAnsi="Calibri" w:cs="Times New Roman"/>
                <w:b/>
                <w:bCs/>
                <w:color w:val="000000"/>
                <w:sz w:val="18"/>
                <w:szCs w:val="20"/>
                <w:lang w:eastAsia="es-ES"/>
              </w:rPr>
              <w:t>2016</w:t>
            </w:r>
          </w:p>
        </w:tc>
      </w:tr>
      <w:tr w:rsidR="00427356" w:rsidRPr="00427356" w:rsidTr="00427356">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27356" w:rsidRPr="00427356" w:rsidRDefault="00427356" w:rsidP="00427356">
            <w:pPr>
              <w:spacing w:after="0" w:line="240" w:lineRule="auto"/>
              <w:rPr>
                <w:rFonts w:ascii="Calibri" w:eastAsia="Times New Roman" w:hAnsi="Calibri" w:cs="Times New Roman"/>
                <w:color w:val="000000"/>
                <w:sz w:val="18"/>
                <w:szCs w:val="20"/>
                <w:lang w:eastAsia="es-ES"/>
              </w:rPr>
            </w:pPr>
            <w:r w:rsidRPr="00427356">
              <w:rPr>
                <w:rFonts w:ascii="Calibri" w:eastAsia="Times New Roman" w:hAnsi="Calibri" w:cs="Times New Roman"/>
                <w:color w:val="000000"/>
                <w:sz w:val="18"/>
                <w:szCs w:val="20"/>
                <w:lang w:eastAsia="es-ES"/>
              </w:rPr>
              <w:t>Reserva Legal</w:t>
            </w:r>
          </w:p>
        </w:tc>
        <w:tc>
          <w:tcPr>
            <w:tcW w:w="1200" w:type="dxa"/>
            <w:tcBorders>
              <w:top w:val="nil"/>
              <w:left w:val="nil"/>
              <w:bottom w:val="single" w:sz="4" w:space="0" w:color="auto"/>
              <w:right w:val="single" w:sz="4" w:space="0" w:color="auto"/>
            </w:tcBorders>
            <w:shd w:val="clear" w:color="auto" w:fill="auto"/>
            <w:noWrap/>
            <w:vAlign w:val="bottom"/>
            <w:hideMark/>
          </w:tcPr>
          <w:p w:rsidR="00427356" w:rsidRPr="00427356" w:rsidRDefault="00427356" w:rsidP="00427356">
            <w:pPr>
              <w:spacing w:after="0" w:line="240" w:lineRule="auto"/>
              <w:jc w:val="center"/>
              <w:rPr>
                <w:rFonts w:ascii="Calibri" w:eastAsia="Times New Roman" w:hAnsi="Calibri" w:cs="Times New Roman"/>
                <w:color w:val="000000"/>
                <w:sz w:val="18"/>
                <w:szCs w:val="20"/>
                <w:lang w:eastAsia="es-ES"/>
              </w:rPr>
            </w:pPr>
            <w:r w:rsidRPr="00427356">
              <w:rPr>
                <w:rFonts w:ascii="Calibri" w:eastAsia="Times New Roman" w:hAnsi="Calibri" w:cs="Times New Roman"/>
                <w:color w:val="000000"/>
                <w:sz w:val="18"/>
                <w:szCs w:val="20"/>
                <w:lang w:eastAsia="es-ES"/>
              </w:rPr>
              <w:t>6.195,58</w:t>
            </w:r>
          </w:p>
        </w:tc>
        <w:tc>
          <w:tcPr>
            <w:tcW w:w="1460" w:type="dxa"/>
            <w:tcBorders>
              <w:top w:val="nil"/>
              <w:left w:val="nil"/>
              <w:bottom w:val="single" w:sz="4" w:space="0" w:color="auto"/>
              <w:right w:val="single" w:sz="4" w:space="0" w:color="auto"/>
            </w:tcBorders>
            <w:shd w:val="clear" w:color="auto" w:fill="auto"/>
            <w:noWrap/>
            <w:vAlign w:val="bottom"/>
            <w:hideMark/>
          </w:tcPr>
          <w:p w:rsidR="00427356" w:rsidRPr="00427356" w:rsidRDefault="00427356" w:rsidP="00427356">
            <w:pPr>
              <w:spacing w:after="0" w:line="240" w:lineRule="auto"/>
              <w:jc w:val="center"/>
              <w:rPr>
                <w:rFonts w:ascii="Calibri" w:eastAsia="Times New Roman" w:hAnsi="Calibri" w:cs="Times New Roman"/>
                <w:color w:val="000000"/>
                <w:sz w:val="18"/>
                <w:szCs w:val="20"/>
                <w:lang w:eastAsia="es-ES"/>
              </w:rPr>
            </w:pPr>
            <w:r w:rsidRPr="00427356">
              <w:rPr>
                <w:rFonts w:ascii="Calibri" w:eastAsia="Times New Roman" w:hAnsi="Calibri" w:cs="Times New Roman"/>
                <w:color w:val="000000"/>
                <w:sz w:val="18"/>
                <w:szCs w:val="20"/>
                <w:lang w:eastAsia="es-ES"/>
              </w:rPr>
              <w:t>5.957,09</w:t>
            </w:r>
          </w:p>
        </w:tc>
      </w:tr>
      <w:tr w:rsidR="00427356" w:rsidRPr="00427356" w:rsidTr="00427356">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27356" w:rsidRPr="00427356" w:rsidRDefault="00427356" w:rsidP="00427356">
            <w:pPr>
              <w:spacing w:after="0" w:line="240" w:lineRule="auto"/>
              <w:rPr>
                <w:rFonts w:ascii="Calibri" w:eastAsia="Times New Roman" w:hAnsi="Calibri" w:cs="Times New Roman"/>
                <w:color w:val="000000"/>
                <w:sz w:val="18"/>
                <w:szCs w:val="20"/>
                <w:lang w:eastAsia="es-ES"/>
              </w:rPr>
            </w:pPr>
            <w:r w:rsidRPr="00427356">
              <w:rPr>
                <w:rFonts w:ascii="Calibri" w:eastAsia="Times New Roman" w:hAnsi="Calibri" w:cs="Times New Roman"/>
                <w:color w:val="000000"/>
                <w:sz w:val="18"/>
                <w:szCs w:val="20"/>
                <w:lang w:eastAsia="es-ES"/>
              </w:rPr>
              <w:t>Reserva Voluntaria</w:t>
            </w:r>
          </w:p>
        </w:tc>
        <w:tc>
          <w:tcPr>
            <w:tcW w:w="1200" w:type="dxa"/>
            <w:tcBorders>
              <w:top w:val="nil"/>
              <w:left w:val="nil"/>
              <w:bottom w:val="single" w:sz="4" w:space="0" w:color="auto"/>
              <w:right w:val="single" w:sz="4" w:space="0" w:color="auto"/>
            </w:tcBorders>
            <w:shd w:val="clear" w:color="auto" w:fill="auto"/>
            <w:noWrap/>
            <w:vAlign w:val="bottom"/>
            <w:hideMark/>
          </w:tcPr>
          <w:p w:rsidR="00427356" w:rsidRPr="00427356" w:rsidRDefault="00427356" w:rsidP="00427356">
            <w:pPr>
              <w:spacing w:after="0" w:line="240" w:lineRule="auto"/>
              <w:jc w:val="center"/>
              <w:rPr>
                <w:rFonts w:ascii="Calibri" w:eastAsia="Times New Roman" w:hAnsi="Calibri" w:cs="Times New Roman"/>
                <w:color w:val="000000"/>
                <w:sz w:val="18"/>
                <w:szCs w:val="20"/>
                <w:lang w:eastAsia="es-ES"/>
              </w:rPr>
            </w:pPr>
            <w:r w:rsidRPr="00947F76">
              <w:rPr>
                <w:rFonts w:ascii="Calibri" w:eastAsia="Times New Roman" w:hAnsi="Calibri" w:cs="Times New Roman"/>
                <w:color w:val="000000"/>
                <w:sz w:val="18"/>
                <w:szCs w:val="20"/>
                <w:lang w:eastAsia="es-ES"/>
              </w:rPr>
              <w:t>8.606,42</w:t>
            </w:r>
          </w:p>
        </w:tc>
        <w:tc>
          <w:tcPr>
            <w:tcW w:w="1460" w:type="dxa"/>
            <w:tcBorders>
              <w:top w:val="nil"/>
              <w:left w:val="nil"/>
              <w:bottom w:val="single" w:sz="4" w:space="0" w:color="auto"/>
              <w:right w:val="single" w:sz="4" w:space="0" w:color="auto"/>
            </w:tcBorders>
            <w:shd w:val="clear" w:color="auto" w:fill="auto"/>
            <w:noWrap/>
            <w:vAlign w:val="bottom"/>
            <w:hideMark/>
          </w:tcPr>
          <w:p w:rsidR="00427356" w:rsidRPr="00427356" w:rsidRDefault="00427356" w:rsidP="00427356">
            <w:pPr>
              <w:spacing w:after="0" w:line="240" w:lineRule="auto"/>
              <w:jc w:val="center"/>
              <w:rPr>
                <w:rFonts w:ascii="Calibri" w:eastAsia="Times New Roman" w:hAnsi="Calibri" w:cs="Times New Roman"/>
                <w:color w:val="000000"/>
                <w:sz w:val="18"/>
                <w:szCs w:val="20"/>
                <w:lang w:eastAsia="es-ES"/>
              </w:rPr>
            </w:pPr>
            <w:r w:rsidRPr="00427356">
              <w:rPr>
                <w:rFonts w:ascii="Calibri" w:eastAsia="Times New Roman" w:hAnsi="Calibri" w:cs="Times New Roman"/>
                <w:color w:val="000000"/>
                <w:sz w:val="18"/>
                <w:szCs w:val="20"/>
                <w:lang w:eastAsia="es-ES"/>
              </w:rPr>
              <w:t>13.459,98</w:t>
            </w:r>
          </w:p>
        </w:tc>
      </w:tr>
    </w:tbl>
    <w:p w:rsidR="0011179B" w:rsidRDefault="0011179B" w:rsidP="00053698">
      <w:pPr>
        <w:jc w:val="both"/>
      </w:pPr>
    </w:p>
    <w:p w:rsidR="00427356" w:rsidRPr="00053698" w:rsidRDefault="00427356" w:rsidP="00427356">
      <w:pPr>
        <w:jc w:val="both"/>
      </w:pPr>
      <w:r w:rsidRPr="00053698">
        <w:t xml:space="preserve">De acuerdo con el Texto Refundido de la Ley de Sociedades de Capital, debe destinarse una cifra igual al 10% del beneficio del ejercicio a la reserva legal hasta que ésta alcance, al menos, el 20% del capital social. </w:t>
      </w:r>
    </w:p>
    <w:p w:rsidR="00427356" w:rsidRPr="00053698" w:rsidRDefault="00427356" w:rsidP="00427356">
      <w:pPr>
        <w:jc w:val="both"/>
      </w:pPr>
      <w:r w:rsidRPr="00053698">
        <w:t xml:space="preserve">Mientras no supere el 20% del capital social, esta reserva sólo podrá destinarse a la compensación de pérdidas y siempre que no existan otras reservas disponibles suficientes para este fin. </w:t>
      </w:r>
    </w:p>
    <w:p w:rsidR="00D82033" w:rsidRPr="008A0E1E" w:rsidRDefault="00F8392D" w:rsidP="00D82033">
      <w:pPr>
        <w:pStyle w:val="Ttulo4"/>
      </w:pPr>
      <w:r w:rsidRPr="008A0E1E">
        <w:t xml:space="preserve">8. </w:t>
      </w:r>
      <w:r w:rsidR="00D82033" w:rsidRPr="008A0E1E">
        <w:t xml:space="preserve">SITUACIÓN FISCAL </w:t>
      </w:r>
    </w:p>
    <w:p w:rsidR="00C8380C" w:rsidRDefault="00C8380C" w:rsidP="00CC2A97">
      <w:pPr>
        <w:jc w:val="both"/>
      </w:pPr>
      <w:r>
        <w:t xml:space="preserve">La composición de los saldos con las Administraciones Públicas </w:t>
      </w:r>
      <w:proofErr w:type="gramStart"/>
      <w:r>
        <w:t>son</w:t>
      </w:r>
      <w:proofErr w:type="gramEnd"/>
      <w:r w:rsidR="00ED31FE">
        <w:t>:</w:t>
      </w:r>
    </w:p>
    <w:p w:rsidR="00C8380C" w:rsidRDefault="00C8380C" w:rsidP="00CC2A97">
      <w:pPr>
        <w:jc w:val="both"/>
      </w:pPr>
    </w:p>
    <w:tbl>
      <w:tblPr>
        <w:tblW w:w="7513" w:type="dxa"/>
        <w:tblInd w:w="70" w:type="dxa"/>
        <w:tblCellMar>
          <w:left w:w="70" w:type="dxa"/>
          <w:right w:w="70" w:type="dxa"/>
        </w:tblCellMar>
        <w:tblLook w:val="04A0"/>
      </w:tblPr>
      <w:tblGrid>
        <w:gridCol w:w="851"/>
        <w:gridCol w:w="2344"/>
        <w:gridCol w:w="1058"/>
        <w:gridCol w:w="992"/>
        <w:gridCol w:w="1134"/>
        <w:gridCol w:w="1134"/>
      </w:tblGrid>
      <w:tr w:rsidR="00C8380C" w:rsidRPr="00C8380C" w:rsidTr="00C8380C">
        <w:trPr>
          <w:trHeight w:val="315"/>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Times New Roman" w:eastAsia="Times New Roman" w:hAnsi="Times New Roman" w:cs="Times New Roman"/>
                <w:sz w:val="24"/>
                <w:szCs w:val="24"/>
                <w:lang w:eastAsia="es-ES"/>
              </w:rPr>
            </w:pPr>
          </w:p>
        </w:tc>
        <w:tc>
          <w:tcPr>
            <w:tcW w:w="234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Times New Roman" w:eastAsia="Times New Roman" w:hAnsi="Times New Roman" w:cs="Times New Roman"/>
                <w:sz w:val="20"/>
                <w:szCs w:val="20"/>
                <w:lang w:eastAsia="es-ES"/>
              </w:rPr>
            </w:pPr>
          </w:p>
        </w:tc>
        <w:tc>
          <w:tcPr>
            <w:tcW w:w="2050" w:type="dxa"/>
            <w:gridSpan w:val="2"/>
            <w:tcBorders>
              <w:top w:val="single" w:sz="8" w:space="0" w:color="auto"/>
              <w:left w:val="nil"/>
              <w:bottom w:val="single" w:sz="8" w:space="0" w:color="auto"/>
              <w:right w:val="single" w:sz="4" w:space="0" w:color="000000"/>
            </w:tcBorders>
            <w:shd w:val="clear" w:color="auto" w:fill="auto"/>
            <w:noWrap/>
            <w:vAlign w:val="center"/>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2017</w:t>
            </w:r>
          </w:p>
        </w:tc>
        <w:tc>
          <w:tcPr>
            <w:tcW w:w="2268" w:type="dxa"/>
            <w:gridSpan w:val="2"/>
            <w:tcBorders>
              <w:top w:val="single" w:sz="8" w:space="0" w:color="auto"/>
              <w:left w:val="nil"/>
              <w:bottom w:val="single" w:sz="8" w:space="0" w:color="auto"/>
              <w:right w:val="nil"/>
            </w:tcBorders>
            <w:shd w:val="clear" w:color="auto" w:fill="auto"/>
            <w:noWrap/>
            <w:vAlign w:val="center"/>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2016</w:t>
            </w:r>
          </w:p>
        </w:tc>
      </w:tr>
      <w:tr w:rsidR="00C8380C" w:rsidRPr="00C8380C" w:rsidTr="00C8380C">
        <w:trPr>
          <w:trHeight w:val="525"/>
        </w:trPr>
        <w:tc>
          <w:tcPr>
            <w:tcW w:w="851" w:type="dxa"/>
            <w:tcBorders>
              <w:top w:val="single" w:sz="8" w:space="0" w:color="auto"/>
              <w:left w:val="nil"/>
              <w:bottom w:val="double" w:sz="6" w:space="0" w:color="auto"/>
              <w:right w:val="nil"/>
            </w:tcBorders>
            <w:shd w:val="clear" w:color="000000" w:fill="BFBFBF"/>
            <w:noWrap/>
            <w:vAlign w:val="center"/>
            <w:hideMark/>
          </w:tcPr>
          <w:p w:rsidR="00C8380C" w:rsidRPr="00C8380C" w:rsidRDefault="00C8380C" w:rsidP="00C8380C">
            <w:pPr>
              <w:spacing w:after="0" w:line="240" w:lineRule="auto"/>
              <w:jc w:val="center"/>
              <w:rPr>
                <w:rFonts w:ascii="Calibri" w:eastAsia="Times New Roman" w:hAnsi="Calibri" w:cs="Times New Roman"/>
                <w:b/>
                <w:bCs/>
                <w:color w:val="000000"/>
                <w:sz w:val="20"/>
                <w:szCs w:val="20"/>
                <w:lang w:eastAsia="es-ES"/>
              </w:rPr>
            </w:pPr>
            <w:r w:rsidRPr="00C8380C">
              <w:rPr>
                <w:rFonts w:ascii="Calibri" w:eastAsia="Times New Roman" w:hAnsi="Calibri" w:cs="Times New Roman"/>
                <w:b/>
                <w:bCs/>
                <w:color w:val="000000"/>
                <w:sz w:val="20"/>
                <w:szCs w:val="20"/>
                <w:lang w:eastAsia="es-ES"/>
              </w:rPr>
              <w:t>Cuenta</w:t>
            </w:r>
          </w:p>
        </w:tc>
        <w:tc>
          <w:tcPr>
            <w:tcW w:w="2344" w:type="dxa"/>
            <w:tcBorders>
              <w:top w:val="single" w:sz="8" w:space="0" w:color="auto"/>
              <w:left w:val="nil"/>
              <w:bottom w:val="double" w:sz="6" w:space="0" w:color="auto"/>
              <w:right w:val="nil"/>
            </w:tcBorders>
            <w:shd w:val="clear" w:color="000000" w:fill="BFBFBF"/>
            <w:noWrap/>
            <w:vAlign w:val="center"/>
            <w:hideMark/>
          </w:tcPr>
          <w:p w:rsidR="00C8380C" w:rsidRPr="00C8380C" w:rsidRDefault="00C8380C" w:rsidP="00C8380C">
            <w:pPr>
              <w:spacing w:after="0" w:line="240" w:lineRule="auto"/>
              <w:jc w:val="center"/>
              <w:rPr>
                <w:rFonts w:ascii="Calibri" w:eastAsia="Times New Roman" w:hAnsi="Calibri" w:cs="Times New Roman"/>
                <w:b/>
                <w:bCs/>
                <w:color w:val="000000"/>
                <w:sz w:val="20"/>
                <w:szCs w:val="20"/>
                <w:lang w:eastAsia="es-ES"/>
              </w:rPr>
            </w:pPr>
            <w:r w:rsidRPr="00C8380C">
              <w:rPr>
                <w:rFonts w:ascii="Calibri" w:eastAsia="Times New Roman" w:hAnsi="Calibri" w:cs="Times New Roman"/>
                <w:b/>
                <w:bCs/>
                <w:color w:val="000000"/>
                <w:sz w:val="20"/>
                <w:szCs w:val="20"/>
                <w:lang w:eastAsia="es-ES"/>
              </w:rPr>
              <w:t>Nombre</w:t>
            </w:r>
          </w:p>
        </w:tc>
        <w:tc>
          <w:tcPr>
            <w:tcW w:w="1058" w:type="dxa"/>
            <w:tcBorders>
              <w:top w:val="nil"/>
              <w:left w:val="nil"/>
              <w:bottom w:val="double" w:sz="6" w:space="0" w:color="auto"/>
              <w:right w:val="nil"/>
            </w:tcBorders>
            <w:shd w:val="clear" w:color="000000" w:fill="BFBFBF"/>
            <w:vAlign w:val="center"/>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Activo Corriente</w:t>
            </w:r>
          </w:p>
        </w:tc>
        <w:tc>
          <w:tcPr>
            <w:tcW w:w="992" w:type="dxa"/>
            <w:tcBorders>
              <w:top w:val="nil"/>
              <w:left w:val="nil"/>
              <w:bottom w:val="double" w:sz="6" w:space="0" w:color="auto"/>
              <w:right w:val="single" w:sz="4" w:space="0" w:color="auto"/>
            </w:tcBorders>
            <w:shd w:val="clear" w:color="000000" w:fill="BFBFBF"/>
            <w:vAlign w:val="center"/>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Pasivo Corriente</w:t>
            </w:r>
          </w:p>
        </w:tc>
        <w:tc>
          <w:tcPr>
            <w:tcW w:w="1134" w:type="dxa"/>
            <w:tcBorders>
              <w:top w:val="nil"/>
              <w:left w:val="nil"/>
              <w:bottom w:val="double" w:sz="6" w:space="0" w:color="auto"/>
              <w:right w:val="nil"/>
            </w:tcBorders>
            <w:shd w:val="clear" w:color="000000" w:fill="BFBFBF"/>
            <w:vAlign w:val="center"/>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Activo Corriente</w:t>
            </w:r>
          </w:p>
        </w:tc>
        <w:tc>
          <w:tcPr>
            <w:tcW w:w="1134" w:type="dxa"/>
            <w:tcBorders>
              <w:top w:val="nil"/>
              <w:left w:val="nil"/>
              <w:bottom w:val="double" w:sz="6" w:space="0" w:color="auto"/>
              <w:right w:val="nil"/>
            </w:tcBorders>
            <w:shd w:val="clear" w:color="000000" w:fill="BFBFBF"/>
            <w:vAlign w:val="center"/>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Pasivo Corriente</w:t>
            </w:r>
          </w:p>
        </w:tc>
      </w:tr>
      <w:tr w:rsidR="00C8380C" w:rsidRPr="00C8380C" w:rsidTr="00C8380C">
        <w:trPr>
          <w:trHeight w:val="465"/>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4707</w:t>
            </w:r>
          </w:p>
        </w:tc>
        <w:tc>
          <w:tcPr>
            <w:tcW w:w="234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 xml:space="preserve">HP </w:t>
            </w:r>
            <w:proofErr w:type="spellStart"/>
            <w:r w:rsidRPr="00C8380C">
              <w:rPr>
                <w:rFonts w:ascii="Calibri" w:eastAsia="Times New Roman" w:hAnsi="Calibri" w:cs="Times New Roman"/>
                <w:color w:val="000000"/>
                <w:sz w:val="20"/>
                <w:szCs w:val="20"/>
                <w:lang w:eastAsia="es-ES"/>
              </w:rPr>
              <w:t>Dedudor</w:t>
            </w:r>
            <w:proofErr w:type="spellEnd"/>
            <w:r w:rsidRPr="00C8380C">
              <w:rPr>
                <w:rFonts w:ascii="Calibri" w:eastAsia="Times New Roman" w:hAnsi="Calibri" w:cs="Times New Roman"/>
                <w:color w:val="000000"/>
                <w:sz w:val="20"/>
                <w:szCs w:val="20"/>
                <w:lang w:eastAsia="es-ES"/>
              </w:rPr>
              <w:t xml:space="preserve"> por </w:t>
            </w:r>
            <w:proofErr w:type="spellStart"/>
            <w:r w:rsidRPr="00C8380C">
              <w:rPr>
                <w:rFonts w:ascii="Calibri" w:eastAsia="Times New Roman" w:hAnsi="Calibri" w:cs="Times New Roman"/>
                <w:color w:val="000000"/>
                <w:sz w:val="20"/>
                <w:szCs w:val="20"/>
                <w:lang w:eastAsia="es-ES"/>
              </w:rPr>
              <w:t>Igic</w:t>
            </w:r>
            <w:proofErr w:type="spellEnd"/>
          </w:p>
        </w:tc>
        <w:tc>
          <w:tcPr>
            <w:tcW w:w="1058"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31.484,59</w:t>
            </w:r>
          </w:p>
        </w:tc>
        <w:tc>
          <w:tcPr>
            <w:tcW w:w="992" w:type="dxa"/>
            <w:tcBorders>
              <w:top w:val="nil"/>
              <w:left w:val="nil"/>
              <w:bottom w:val="nil"/>
              <w:right w:val="single" w:sz="4" w:space="0" w:color="auto"/>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 </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23.559,56</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p>
        </w:tc>
      </w:tr>
      <w:tr w:rsidR="00C8380C" w:rsidRPr="00C8380C" w:rsidTr="00C8380C">
        <w:trPr>
          <w:trHeight w:val="255"/>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4727</w:t>
            </w:r>
          </w:p>
        </w:tc>
        <w:tc>
          <w:tcPr>
            <w:tcW w:w="234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HP  IGIC  Soportado</w:t>
            </w:r>
          </w:p>
        </w:tc>
        <w:tc>
          <w:tcPr>
            <w:tcW w:w="1058"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290,35</w:t>
            </w:r>
          </w:p>
        </w:tc>
        <w:tc>
          <w:tcPr>
            <w:tcW w:w="992" w:type="dxa"/>
            <w:tcBorders>
              <w:top w:val="nil"/>
              <w:left w:val="nil"/>
              <w:bottom w:val="nil"/>
              <w:right w:val="single" w:sz="4" w:space="0" w:color="auto"/>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 </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0,00</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p>
        </w:tc>
      </w:tr>
      <w:tr w:rsidR="00C8380C" w:rsidRPr="00C8380C" w:rsidTr="00C8380C">
        <w:trPr>
          <w:trHeight w:val="255"/>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4751</w:t>
            </w:r>
          </w:p>
        </w:tc>
        <w:tc>
          <w:tcPr>
            <w:tcW w:w="2344" w:type="dxa"/>
            <w:tcBorders>
              <w:top w:val="nil"/>
              <w:left w:val="nil"/>
              <w:bottom w:val="nil"/>
              <w:right w:val="nil"/>
            </w:tcBorders>
            <w:shd w:val="clear" w:color="auto" w:fill="auto"/>
            <w:noWrap/>
            <w:vAlign w:val="bottom"/>
            <w:hideMark/>
          </w:tcPr>
          <w:p w:rsidR="00C8380C" w:rsidRPr="00C8380C" w:rsidRDefault="00C8380C" w:rsidP="005A5214">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 xml:space="preserve">Retenciones IRPF </w:t>
            </w:r>
          </w:p>
        </w:tc>
        <w:tc>
          <w:tcPr>
            <w:tcW w:w="1058"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p>
        </w:tc>
        <w:tc>
          <w:tcPr>
            <w:tcW w:w="992" w:type="dxa"/>
            <w:tcBorders>
              <w:top w:val="nil"/>
              <w:left w:val="nil"/>
              <w:bottom w:val="nil"/>
              <w:right w:val="single" w:sz="4" w:space="0" w:color="auto"/>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4.921,56</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1.245,19</w:t>
            </w:r>
          </w:p>
        </w:tc>
      </w:tr>
      <w:tr w:rsidR="00C8380C" w:rsidRPr="00C8380C" w:rsidTr="00C8380C">
        <w:trPr>
          <w:trHeight w:val="255"/>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4757</w:t>
            </w:r>
          </w:p>
        </w:tc>
        <w:tc>
          <w:tcPr>
            <w:tcW w:w="234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 xml:space="preserve">HP Acreedor por </w:t>
            </w:r>
            <w:proofErr w:type="spellStart"/>
            <w:r w:rsidRPr="00C8380C">
              <w:rPr>
                <w:rFonts w:ascii="Calibri" w:eastAsia="Times New Roman" w:hAnsi="Calibri" w:cs="Times New Roman"/>
                <w:color w:val="000000"/>
                <w:sz w:val="20"/>
                <w:szCs w:val="20"/>
                <w:lang w:eastAsia="es-ES"/>
              </w:rPr>
              <w:t>Igic</w:t>
            </w:r>
            <w:proofErr w:type="spellEnd"/>
          </w:p>
        </w:tc>
        <w:tc>
          <w:tcPr>
            <w:tcW w:w="1058"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p>
        </w:tc>
        <w:tc>
          <w:tcPr>
            <w:tcW w:w="992" w:type="dxa"/>
            <w:tcBorders>
              <w:top w:val="nil"/>
              <w:left w:val="nil"/>
              <w:bottom w:val="nil"/>
              <w:right w:val="single" w:sz="4" w:space="0" w:color="auto"/>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 </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Times New Roman" w:eastAsia="Times New Roman" w:hAnsi="Times New Roman" w:cs="Times New Roman"/>
                <w:sz w:val="20"/>
                <w:szCs w:val="20"/>
                <w:lang w:eastAsia="es-ES"/>
              </w:rPr>
            </w:pPr>
          </w:p>
        </w:tc>
      </w:tr>
      <w:tr w:rsidR="00C8380C" w:rsidRPr="00C8380C" w:rsidTr="00C8380C">
        <w:trPr>
          <w:trHeight w:val="255"/>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4760</w:t>
            </w:r>
          </w:p>
        </w:tc>
        <w:tc>
          <w:tcPr>
            <w:tcW w:w="234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proofErr w:type="spellStart"/>
            <w:r w:rsidRPr="00C8380C">
              <w:rPr>
                <w:rFonts w:ascii="Calibri" w:eastAsia="Times New Roman" w:hAnsi="Calibri" w:cs="Times New Roman"/>
                <w:color w:val="000000"/>
                <w:sz w:val="20"/>
                <w:szCs w:val="20"/>
                <w:lang w:eastAsia="es-ES"/>
              </w:rPr>
              <w:t>Seg</w:t>
            </w:r>
            <w:proofErr w:type="spellEnd"/>
            <w:r w:rsidRPr="00C8380C">
              <w:rPr>
                <w:rFonts w:ascii="Calibri" w:eastAsia="Times New Roman" w:hAnsi="Calibri" w:cs="Times New Roman"/>
                <w:color w:val="000000"/>
                <w:sz w:val="20"/>
                <w:szCs w:val="20"/>
                <w:lang w:eastAsia="es-ES"/>
              </w:rPr>
              <w:t>. Social Acreedora</w:t>
            </w:r>
          </w:p>
        </w:tc>
        <w:tc>
          <w:tcPr>
            <w:tcW w:w="1058"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p>
        </w:tc>
        <w:tc>
          <w:tcPr>
            <w:tcW w:w="992" w:type="dxa"/>
            <w:tcBorders>
              <w:top w:val="nil"/>
              <w:left w:val="nil"/>
              <w:bottom w:val="nil"/>
              <w:right w:val="single" w:sz="4" w:space="0" w:color="auto"/>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5.540,17</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1.550,39</w:t>
            </w:r>
          </w:p>
        </w:tc>
      </w:tr>
      <w:tr w:rsidR="00C8380C" w:rsidRPr="00C8380C" w:rsidTr="00C8380C">
        <w:trPr>
          <w:trHeight w:val="270"/>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center"/>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4777</w:t>
            </w:r>
          </w:p>
        </w:tc>
        <w:tc>
          <w:tcPr>
            <w:tcW w:w="234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HP IGIC Repercutido</w:t>
            </w:r>
          </w:p>
        </w:tc>
        <w:tc>
          <w:tcPr>
            <w:tcW w:w="1058"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p>
        </w:tc>
        <w:tc>
          <w:tcPr>
            <w:tcW w:w="992" w:type="dxa"/>
            <w:tcBorders>
              <w:top w:val="nil"/>
              <w:left w:val="nil"/>
              <w:bottom w:val="nil"/>
              <w:right w:val="single" w:sz="4" w:space="0" w:color="auto"/>
            </w:tcBorders>
            <w:shd w:val="clear" w:color="auto" w:fill="auto"/>
            <w:noWrap/>
            <w:vAlign w:val="bottom"/>
            <w:hideMark/>
          </w:tcPr>
          <w:p w:rsidR="00C8380C" w:rsidRPr="00C8380C" w:rsidRDefault="00C8380C" w:rsidP="005A5214">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0,3</w:t>
            </w:r>
            <w:r w:rsidR="005A5214">
              <w:rPr>
                <w:rFonts w:ascii="Calibri" w:eastAsia="Times New Roman" w:hAnsi="Calibri" w:cs="Times New Roman"/>
                <w:color w:val="000000"/>
                <w:sz w:val="20"/>
                <w:szCs w:val="20"/>
                <w:lang w:eastAsia="es-ES"/>
              </w:rPr>
              <w:t>6</w:t>
            </w:r>
          </w:p>
        </w:tc>
        <w:tc>
          <w:tcPr>
            <w:tcW w:w="1134"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C8380C" w:rsidRPr="00C8380C" w:rsidRDefault="00C8380C" w:rsidP="005A5214">
            <w:pPr>
              <w:spacing w:after="0" w:line="240" w:lineRule="auto"/>
              <w:jc w:val="right"/>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0,3</w:t>
            </w:r>
            <w:r w:rsidR="005A5214">
              <w:rPr>
                <w:rFonts w:ascii="Calibri" w:eastAsia="Times New Roman" w:hAnsi="Calibri" w:cs="Times New Roman"/>
                <w:color w:val="000000"/>
                <w:sz w:val="20"/>
                <w:szCs w:val="20"/>
                <w:lang w:eastAsia="es-ES"/>
              </w:rPr>
              <w:t>6</w:t>
            </w:r>
          </w:p>
        </w:tc>
      </w:tr>
      <w:tr w:rsidR="00C8380C" w:rsidRPr="00C8380C" w:rsidTr="00C8380C">
        <w:trPr>
          <w:trHeight w:val="390"/>
        </w:trPr>
        <w:tc>
          <w:tcPr>
            <w:tcW w:w="851" w:type="dxa"/>
            <w:tcBorders>
              <w:top w:val="nil"/>
              <w:left w:val="nil"/>
              <w:bottom w:val="nil"/>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color w:val="000000"/>
                <w:sz w:val="20"/>
                <w:szCs w:val="20"/>
                <w:lang w:eastAsia="es-ES"/>
              </w:rPr>
            </w:pPr>
          </w:p>
        </w:tc>
        <w:tc>
          <w:tcPr>
            <w:tcW w:w="2344" w:type="dxa"/>
            <w:tcBorders>
              <w:top w:val="single" w:sz="8" w:space="0" w:color="auto"/>
              <w:left w:val="nil"/>
              <w:bottom w:val="double" w:sz="6" w:space="0" w:color="auto"/>
              <w:right w:val="nil"/>
            </w:tcBorders>
            <w:shd w:val="clear" w:color="auto" w:fill="auto"/>
            <w:noWrap/>
            <w:vAlign w:val="center"/>
            <w:hideMark/>
          </w:tcPr>
          <w:p w:rsidR="00C8380C" w:rsidRPr="00C8380C" w:rsidRDefault="00C8380C" w:rsidP="00C8380C">
            <w:pPr>
              <w:spacing w:after="0" w:line="240" w:lineRule="auto"/>
              <w:rPr>
                <w:rFonts w:ascii="Calibri" w:eastAsia="Times New Roman" w:hAnsi="Calibri" w:cs="Times New Roman"/>
                <w:color w:val="000000"/>
                <w:sz w:val="20"/>
                <w:szCs w:val="20"/>
                <w:lang w:eastAsia="es-ES"/>
              </w:rPr>
            </w:pPr>
            <w:r w:rsidRPr="00C8380C">
              <w:rPr>
                <w:rFonts w:ascii="Calibri" w:eastAsia="Times New Roman" w:hAnsi="Calibri" w:cs="Times New Roman"/>
                <w:color w:val="000000"/>
                <w:sz w:val="20"/>
                <w:szCs w:val="20"/>
                <w:lang w:eastAsia="es-ES"/>
              </w:rPr>
              <w:t> </w:t>
            </w:r>
          </w:p>
        </w:tc>
        <w:tc>
          <w:tcPr>
            <w:tcW w:w="1058" w:type="dxa"/>
            <w:tcBorders>
              <w:top w:val="single" w:sz="8" w:space="0" w:color="auto"/>
              <w:left w:val="nil"/>
              <w:bottom w:val="double" w:sz="6" w:space="0" w:color="auto"/>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b/>
                <w:bCs/>
                <w:color w:val="000000"/>
                <w:sz w:val="20"/>
                <w:szCs w:val="20"/>
                <w:lang w:eastAsia="es-ES"/>
              </w:rPr>
            </w:pPr>
            <w:r w:rsidRPr="00C8380C">
              <w:rPr>
                <w:rFonts w:ascii="Calibri" w:eastAsia="Times New Roman" w:hAnsi="Calibri" w:cs="Times New Roman"/>
                <w:b/>
                <w:bCs/>
                <w:color w:val="000000"/>
                <w:sz w:val="20"/>
                <w:szCs w:val="20"/>
                <w:lang w:eastAsia="es-ES"/>
              </w:rPr>
              <w:t>31.774,94</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rsidR="00C8380C" w:rsidRPr="00C8380C" w:rsidRDefault="00C8380C" w:rsidP="005A5214">
            <w:pPr>
              <w:spacing w:after="0" w:line="240" w:lineRule="auto"/>
              <w:jc w:val="right"/>
              <w:rPr>
                <w:rFonts w:ascii="Calibri" w:eastAsia="Times New Roman" w:hAnsi="Calibri" w:cs="Times New Roman"/>
                <w:b/>
                <w:bCs/>
                <w:color w:val="000000"/>
                <w:sz w:val="20"/>
                <w:szCs w:val="20"/>
                <w:lang w:eastAsia="es-ES"/>
              </w:rPr>
            </w:pPr>
            <w:r w:rsidRPr="00C8380C">
              <w:rPr>
                <w:rFonts w:ascii="Calibri" w:eastAsia="Times New Roman" w:hAnsi="Calibri" w:cs="Times New Roman"/>
                <w:b/>
                <w:bCs/>
                <w:color w:val="000000"/>
                <w:sz w:val="20"/>
                <w:szCs w:val="20"/>
                <w:lang w:eastAsia="es-ES"/>
              </w:rPr>
              <w:t>10.462,0</w:t>
            </w:r>
            <w:r w:rsidR="005A5214">
              <w:rPr>
                <w:rFonts w:ascii="Calibri" w:eastAsia="Times New Roman" w:hAnsi="Calibri" w:cs="Times New Roman"/>
                <w:b/>
                <w:bCs/>
                <w:color w:val="000000"/>
                <w:sz w:val="20"/>
                <w:szCs w:val="20"/>
                <w:lang w:eastAsia="es-ES"/>
              </w:rPr>
              <w:t>9</w:t>
            </w:r>
          </w:p>
        </w:tc>
        <w:tc>
          <w:tcPr>
            <w:tcW w:w="1134" w:type="dxa"/>
            <w:tcBorders>
              <w:top w:val="single" w:sz="8" w:space="0" w:color="auto"/>
              <w:left w:val="nil"/>
              <w:bottom w:val="double" w:sz="6" w:space="0" w:color="auto"/>
              <w:right w:val="nil"/>
            </w:tcBorders>
            <w:shd w:val="clear" w:color="auto" w:fill="auto"/>
            <w:noWrap/>
            <w:vAlign w:val="bottom"/>
            <w:hideMark/>
          </w:tcPr>
          <w:p w:rsidR="00C8380C" w:rsidRPr="00C8380C" w:rsidRDefault="00C8380C" w:rsidP="00C8380C">
            <w:pPr>
              <w:spacing w:after="0" w:line="240" w:lineRule="auto"/>
              <w:jc w:val="right"/>
              <w:rPr>
                <w:rFonts w:ascii="Calibri" w:eastAsia="Times New Roman" w:hAnsi="Calibri" w:cs="Times New Roman"/>
                <w:b/>
                <w:bCs/>
                <w:color w:val="000000"/>
                <w:sz w:val="20"/>
                <w:szCs w:val="20"/>
                <w:lang w:eastAsia="es-ES"/>
              </w:rPr>
            </w:pPr>
            <w:r w:rsidRPr="00C8380C">
              <w:rPr>
                <w:rFonts w:ascii="Calibri" w:eastAsia="Times New Roman" w:hAnsi="Calibri" w:cs="Times New Roman"/>
                <w:b/>
                <w:bCs/>
                <w:color w:val="000000"/>
                <w:sz w:val="20"/>
                <w:szCs w:val="20"/>
                <w:lang w:eastAsia="es-ES"/>
              </w:rPr>
              <w:t>23.559,56</w:t>
            </w:r>
          </w:p>
        </w:tc>
        <w:tc>
          <w:tcPr>
            <w:tcW w:w="1134" w:type="dxa"/>
            <w:tcBorders>
              <w:top w:val="single" w:sz="8" w:space="0" w:color="auto"/>
              <w:left w:val="nil"/>
              <w:bottom w:val="double" w:sz="6" w:space="0" w:color="auto"/>
              <w:right w:val="nil"/>
            </w:tcBorders>
            <w:shd w:val="clear" w:color="auto" w:fill="auto"/>
            <w:noWrap/>
            <w:vAlign w:val="bottom"/>
            <w:hideMark/>
          </w:tcPr>
          <w:p w:rsidR="00C8380C" w:rsidRPr="00C8380C" w:rsidRDefault="00C8380C" w:rsidP="005A5214">
            <w:pPr>
              <w:spacing w:after="0" w:line="240" w:lineRule="auto"/>
              <w:jc w:val="right"/>
              <w:rPr>
                <w:rFonts w:ascii="Calibri" w:eastAsia="Times New Roman" w:hAnsi="Calibri" w:cs="Times New Roman"/>
                <w:b/>
                <w:bCs/>
                <w:color w:val="000000"/>
                <w:sz w:val="20"/>
                <w:szCs w:val="20"/>
                <w:lang w:eastAsia="es-ES"/>
              </w:rPr>
            </w:pPr>
            <w:r w:rsidRPr="00C8380C">
              <w:rPr>
                <w:rFonts w:ascii="Calibri" w:eastAsia="Times New Roman" w:hAnsi="Calibri" w:cs="Times New Roman"/>
                <w:b/>
                <w:bCs/>
                <w:color w:val="000000"/>
                <w:sz w:val="20"/>
                <w:szCs w:val="20"/>
                <w:lang w:eastAsia="es-ES"/>
              </w:rPr>
              <w:t>2.795,9</w:t>
            </w:r>
            <w:r w:rsidR="005A5214">
              <w:rPr>
                <w:rFonts w:ascii="Calibri" w:eastAsia="Times New Roman" w:hAnsi="Calibri" w:cs="Times New Roman"/>
                <w:b/>
                <w:bCs/>
                <w:color w:val="000000"/>
                <w:sz w:val="20"/>
                <w:szCs w:val="20"/>
                <w:lang w:eastAsia="es-ES"/>
              </w:rPr>
              <w:t>4</w:t>
            </w:r>
          </w:p>
        </w:tc>
      </w:tr>
    </w:tbl>
    <w:p w:rsidR="009D319E" w:rsidRDefault="009D319E" w:rsidP="00F8392D">
      <w:pPr>
        <w:jc w:val="both"/>
      </w:pPr>
    </w:p>
    <w:p w:rsidR="00F8392D" w:rsidRPr="00F8392D" w:rsidRDefault="00F8392D" w:rsidP="00F8392D">
      <w:pPr>
        <w:jc w:val="both"/>
      </w:pPr>
      <w:r w:rsidRPr="00F8392D">
        <w:t xml:space="preserve">Durante el ejercicio, no se han producido diferencias temporarias. </w:t>
      </w:r>
    </w:p>
    <w:p w:rsidR="0034731E" w:rsidRDefault="0034731E" w:rsidP="0034731E">
      <w:pPr>
        <w:jc w:val="both"/>
      </w:pPr>
      <w:r w:rsidRPr="0034731E">
        <w:t>La liquidación del Impuesto sobre Sociedades es la siguiente:</w:t>
      </w:r>
    </w:p>
    <w:p w:rsidR="009B6971" w:rsidRPr="0034731E" w:rsidRDefault="009B6971" w:rsidP="0034731E">
      <w:pPr>
        <w:jc w:val="both"/>
      </w:pPr>
    </w:p>
    <w:tbl>
      <w:tblPr>
        <w:tblW w:w="7320" w:type="dxa"/>
        <w:tblInd w:w="599" w:type="dxa"/>
        <w:tblCellMar>
          <w:left w:w="70" w:type="dxa"/>
          <w:right w:w="70" w:type="dxa"/>
        </w:tblCellMar>
        <w:tblLook w:val="04A0"/>
      </w:tblPr>
      <w:tblGrid>
        <w:gridCol w:w="4340"/>
        <w:gridCol w:w="1480"/>
        <w:gridCol w:w="1500"/>
      </w:tblGrid>
      <w:tr w:rsidR="009B6971" w:rsidRPr="009B6971" w:rsidTr="009B6971">
        <w:trPr>
          <w:trHeight w:val="360"/>
        </w:trPr>
        <w:tc>
          <w:tcPr>
            <w:tcW w:w="4340" w:type="dxa"/>
            <w:tcBorders>
              <w:top w:val="single" w:sz="4" w:space="0" w:color="auto"/>
              <w:left w:val="nil"/>
              <w:bottom w:val="single" w:sz="8" w:space="0" w:color="auto"/>
              <w:right w:val="nil"/>
            </w:tcBorders>
            <w:shd w:val="clear" w:color="000000" w:fill="BFBFBF"/>
            <w:noWrap/>
            <w:vAlign w:val="bottom"/>
            <w:hideMark/>
          </w:tcPr>
          <w:p w:rsidR="009B6971" w:rsidRPr="009B6971" w:rsidRDefault="009B6971" w:rsidP="009B6971">
            <w:pPr>
              <w:spacing w:after="0" w:line="240" w:lineRule="auto"/>
              <w:rPr>
                <w:rFonts w:ascii="Calibri" w:eastAsia="Times New Roman" w:hAnsi="Calibri" w:cs="Calibri"/>
                <w:color w:val="000000"/>
                <w:lang w:eastAsia="es-ES"/>
              </w:rPr>
            </w:pPr>
            <w:r w:rsidRPr="009B6971">
              <w:rPr>
                <w:rFonts w:ascii="Calibri" w:eastAsia="Times New Roman" w:hAnsi="Calibri" w:cs="Calibri"/>
                <w:color w:val="000000"/>
                <w:lang w:eastAsia="es-ES"/>
              </w:rPr>
              <w:lastRenderedPageBreak/>
              <w:t> </w:t>
            </w:r>
          </w:p>
        </w:tc>
        <w:tc>
          <w:tcPr>
            <w:tcW w:w="1480" w:type="dxa"/>
            <w:tcBorders>
              <w:top w:val="single" w:sz="4" w:space="0" w:color="auto"/>
              <w:left w:val="nil"/>
              <w:bottom w:val="single" w:sz="8" w:space="0" w:color="auto"/>
              <w:right w:val="nil"/>
            </w:tcBorders>
            <w:shd w:val="clear" w:color="000000" w:fill="BFBFBF"/>
            <w:noWrap/>
            <w:vAlign w:val="bottom"/>
            <w:hideMark/>
          </w:tcPr>
          <w:p w:rsidR="009B6971" w:rsidRPr="009B6971" w:rsidRDefault="009B6971" w:rsidP="009B6971">
            <w:pPr>
              <w:spacing w:after="0" w:line="240" w:lineRule="auto"/>
              <w:jc w:val="center"/>
              <w:rPr>
                <w:rFonts w:ascii="Calibri" w:eastAsia="Times New Roman" w:hAnsi="Calibri" w:cs="Calibri"/>
                <w:color w:val="000000"/>
                <w:lang w:eastAsia="es-ES"/>
              </w:rPr>
            </w:pPr>
            <w:r w:rsidRPr="009B6971">
              <w:rPr>
                <w:rFonts w:ascii="Calibri" w:eastAsia="Times New Roman" w:hAnsi="Calibri" w:cs="Calibri"/>
                <w:color w:val="000000"/>
                <w:lang w:eastAsia="es-ES"/>
              </w:rPr>
              <w:t>2.017</w:t>
            </w:r>
          </w:p>
        </w:tc>
        <w:tc>
          <w:tcPr>
            <w:tcW w:w="1500" w:type="dxa"/>
            <w:tcBorders>
              <w:top w:val="single" w:sz="4" w:space="0" w:color="auto"/>
              <w:left w:val="nil"/>
              <w:bottom w:val="single" w:sz="8" w:space="0" w:color="auto"/>
              <w:right w:val="nil"/>
            </w:tcBorders>
            <w:shd w:val="clear" w:color="000000" w:fill="BFBFBF"/>
            <w:noWrap/>
            <w:vAlign w:val="bottom"/>
            <w:hideMark/>
          </w:tcPr>
          <w:p w:rsidR="009B6971" w:rsidRPr="009B6971" w:rsidRDefault="009B6971" w:rsidP="009B6971">
            <w:pPr>
              <w:spacing w:after="0" w:line="240" w:lineRule="auto"/>
              <w:jc w:val="center"/>
              <w:rPr>
                <w:rFonts w:ascii="Calibri" w:eastAsia="Times New Roman" w:hAnsi="Calibri" w:cs="Calibri"/>
                <w:color w:val="000000"/>
                <w:lang w:eastAsia="es-ES"/>
              </w:rPr>
            </w:pPr>
            <w:r w:rsidRPr="009B6971">
              <w:rPr>
                <w:rFonts w:ascii="Calibri" w:eastAsia="Times New Roman" w:hAnsi="Calibri" w:cs="Calibri"/>
                <w:color w:val="000000"/>
                <w:lang w:eastAsia="es-ES"/>
              </w:rPr>
              <w:t>2.016</w:t>
            </w:r>
          </w:p>
        </w:tc>
      </w:tr>
      <w:tr w:rsidR="009B6971" w:rsidRPr="009B6971" w:rsidTr="009B6971">
        <w:trPr>
          <w:trHeight w:val="435"/>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Resultado Cuenta Pérdidas y Ganancias</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129.643,04</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2.384,93</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Impuesto Sociedades</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-96.029,97</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1.277,45</w:t>
            </w:r>
          </w:p>
        </w:tc>
      </w:tr>
      <w:tr w:rsidR="009B6971" w:rsidRPr="009B6971" w:rsidTr="009B6971">
        <w:trPr>
          <w:trHeight w:val="615"/>
        </w:trPr>
        <w:tc>
          <w:tcPr>
            <w:tcW w:w="4340" w:type="dxa"/>
            <w:tcBorders>
              <w:top w:val="nil"/>
              <w:left w:val="nil"/>
              <w:bottom w:val="nil"/>
              <w:right w:val="nil"/>
            </w:tcBorders>
            <w:shd w:val="clear" w:color="auto" w:fill="auto"/>
            <w:vAlign w:val="bottom"/>
            <w:hideMark/>
          </w:tcPr>
          <w:p w:rsidR="009B6971" w:rsidRPr="009B6971" w:rsidRDefault="009B6971" w:rsidP="009B6971">
            <w:pPr>
              <w:spacing w:after="0" w:line="240" w:lineRule="auto"/>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Resultado Cuenta  Pérdidas y Ganancias antes Impuesto Sociedades</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33.613,07</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3.662,38</w:t>
            </w:r>
          </w:p>
        </w:tc>
      </w:tr>
      <w:tr w:rsidR="009B6971" w:rsidRPr="009B6971" w:rsidTr="009B6971">
        <w:trPr>
          <w:trHeight w:val="33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Reserva de Capitalización</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0,00</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-366,24</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Base Imponible  Previa</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33.613,07</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3.296,14</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5A5214">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 xml:space="preserve">Diferencia permanente </w:t>
            </w:r>
            <w:r w:rsidR="005A5214">
              <w:rPr>
                <w:rFonts w:ascii="Calibri" w:eastAsia="Times New Roman" w:hAnsi="Calibri" w:cs="Calibri"/>
                <w:color w:val="000000"/>
                <w:sz w:val="20"/>
                <w:szCs w:val="20"/>
                <w:lang w:eastAsia="es-ES"/>
              </w:rPr>
              <w:t>negativa</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-7.000,00</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0,00</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 xml:space="preserve">Base Imponible </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26.613,07</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3.296,14</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 xml:space="preserve">Cuota </w:t>
            </w:r>
            <w:proofErr w:type="spellStart"/>
            <w:r w:rsidRPr="009B6971">
              <w:rPr>
                <w:rFonts w:ascii="Calibri" w:eastAsia="Times New Roman" w:hAnsi="Calibri" w:cs="Calibri"/>
                <w:color w:val="000000"/>
                <w:sz w:val="20"/>
                <w:szCs w:val="20"/>
                <w:lang w:eastAsia="es-ES"/>
              </w:rPr>
              <w:t>Integra</w:t>
            </w:r>
            <w:proofErr w:type="spellEnd"/>
            <w:r w:rsidRPr="009B6971">
              <w:rPr>
                <w:rFonts w:ascii="Calibri" w:eastAsia="Times New Roman" w:hAnsi="Calibri" w:cs="Calibri"/>
                <w:color w:val="000000"/>
                <w:sz w:val="20"/>
                <w:szCs w:val="20"/>
                <w:lang w:eastAsia="es-ES"/>
              </w:rPr>
              <w:t xml:space="preserve">    25%</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6.653,27</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824,04</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Deducción Inversiones Ej. Anteriores</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2.734,18</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412,02</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Deducción Inversiones Ej. Actual</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3.326,63</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412,02</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Cuota Líquida</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592,46</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0,00</w:t>
            </w:r>
          </w:p>
        </w:tc>
      </w:tr>
      <w:tr w:rsidR="009B6971" w:rsidRPr="009B6971" w:rsidTr="009B6971">
        <w:trPr>
          <w:trHeight w:val="360"/>
        </w:trPr>
        <w:tc>
          <w:tcPr>
            <w:tcW w:w="434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Retencion</w:t>
            </w:r>
            <w:r>
              <w:rPr>
                <w:rFonts w:ascii="Calibri" w:eastAsia="Times New Roman" w:hAnsi="Calibri" w:cs="Calibri"/>
                <w:color w:val="000000"/>
                <w:sz w:val="20"/>
                <w:szCs w:val="20"/>
                <w:lang w:eastAsia="es-ES"/>
              </w:rPr>
              <w:t>e</w:t>
            </w:r>
            <w:r w:rsidRPr="009B6971">
              <w:rPr>
                <w:rFonts w:ascii="Calibri" w:eastAsia="Times New Roman" w:hAnsi="Calibri" w:cs="Calibri"/>
                <w:color w:val="000000"/>
                <w:sz w:val="20"/>
                <w:szCs w:val="20"/>
                <w:lang w:eastAsia="es-ES"/>
              </w:rPr>
              <w:t>s y Pagos a Cuenta</w:t>
            </w:r>
          </w:p>
        </w:tc>
        <w:tc>
          <w:tcPr>
            <w:tcW w:w="148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0,00</w:t>
            </w:r>
          </w:p>
        </w:tc>
        <w:tc>
          <w:tcPr>
            <w:tcW w:w="1500" w:type="dxa"/>
            <w:tcBorders>
              <w:top w:val="nil"/>
              <w:left w:val="nil"/>
              <w:bottom w:val="nil"/>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color w:val="000000"/>
                <w:sz w:val="20"/>
                <w:szCs w:val="20"/>
                <w:lang w:eastAsia="es-ES"/>
              </w:rPr>
            </w:pPr>
            <w:r w:rsidRPr="009B6971">
              <w:rPr>
                <w:rFonts w:ascii="Calibri" w:eastAsia="Times New Roman" w:hAnsi="Calibri" w:cs="Calibri"/>
                <w:color w:val="000000"/>
                <w:sz w:val="20"/>
                <w:szCs w:val="20"/>
                <w:lang w:eastAsia="es-ES"/>
              </w:rPr>
              <w:t>0,00</w:t>
            </w:r>
          </w:p>
        </w:tc>
      </w:tr>
      <w:tr w:rsidR="009B6971" w:rsidRPr="009B6971" w:rsidTr="009B6971">
        <w:trPr>
          <w:trHeight w:val="360"/>
        </w:trPr>
        <w:tc>
          <w:tcPr>
            <w:tcW w:w="4340" w:type="dxa"/>
            <w:tcBorders>
              <w:top w:val="single" w:sz="4" w:space="0" w:color="auto"/>
              <w:left w:val="nil"/>
              <w:bottom w:val="single" w:sz="8" w:space="0" w:color="auto"/>
              <w:right w:val="nil"/>
            </w:tcBorders>
            <w:shd w:val="clear" w:color="auto" w:fill="auto"/>
            <w:noWrap/>
            <w:vAlign w:val="bottom"/>
            <w:hideMark/>
          </w:tcPr>
          <w:p w:rsidR="009B6971" w:rsidRPr="009B6971" w:rsidRDefault="009B6971" w:rsidP="009B6971">
            <w:pPr>
              <w:spacing w:after="0" w:line="240" w:lineRule="auto"/>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Cuota del Ejercicio a Ingresar</w:t>
            </w:r>
          </w:p>
        </w:tc>
        <w:tc>
          <w:tcPr>
            <w:tcW w:w="1480" w:type="dxa"/>
            <w:tcBorders>
              <w:top w:val="single" w:sz="4" w:space="0" w:color="auto"/>
              <w:left w:val="nil"/>
              <w:bottom w:val="single" w:sz="8" w:space="0" w:color="auto"/>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592,46</w:t>
            </w:r>
          </w:p>
        </w:tc>
        <w:tc>
          <w:tcPr>
            <w:tcW w:w="1500" w:type="dxa"/>
            <w:tcBorders>
              <w:top w:val="single" w:sz="4" w:space="0" w:color="auto"/>
              <w:left w:val="nil"/>
              <w:bottom w:val="single" w:sz="8" w:space="0" w:color="auto"/>
              <w:right w:val="nil"/>
            </w:tcBorders>
            <w:shd w:val="clear" w:color="auto" w:fill="auto"/>
            <w:noWrap/>
            <w:vAlign w:val="bottom"/>
            <w:hideMark/>
          </w:tcPr>
          <w:p w:rsidR="009B6971" w:rsidRPr="009B6971" w:rsidRDefault="009B6971" w:rsidP="009B6971">
            <w:pPr>
              <w:spacing w:after="0" w:line="240" w:lineRule="auto"/>
              <w:jc w:val="right"/>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 w:val="20"/>
                <w:szCs w:val="20"/>
                <w:lang w:eastAsia="es-ES"/>
              </w:rPr>
              <w:t>0,00</w:t>
            </w:r>
          </w:p>
        </w:tc>
      </w:tr>
    </w:tbl>
    <w:p w:rsidR="00F8392D" w:rsidRDefault="00F8392D" w:rsidP="00F8392D">
      <w:pPr>
        <w:jc w:val="both"/>
      </w:pPr>
    </w:p>
    <w:p w:rsidR="00C8380C" w:rsidRDefault="00C8380C" w:rsidP="00907090">
      <w:pPr>
        <w:jc w:val="both"/>
      </w:pPr>
    </w:p>
    <w:p w:rsidR="00907090" w:rsidRDefault="00907090" w:rsidP="00907090">
      <w:pPr>
        <w:jc w:val="both"/>
      </w:pPr>
      <w:r w:rsidRPr="00907090">
        <w:t xml:space="preserve">El Impuesto sobre Sociedades del ejercicio se calcula en base al resultado contable, obtenido por la aplicación de principios de contabilidad generalmente aceptados, que no necesariamente ha de coincidir con el resultado fiscal, entendido éste como la base imponible del citado impuesto. </w:t>
      </w:r>
    </w:p>
    <w:p w:rsidR="006B0D19" w:rsidRDefault="00A0043C" w:rsidP="00A0043C">
      <w:pPr>
        <w:jc w:val="both"/>
      </w:pPr>
      <w:r>
        <w:t>Bases imponibles negativas:</w:t>
      </w:r>
      <w:r w:rsidR="0034731E">
        <w:t xml:space="preserve">  </w:t>
      </w:r>
    </w:p>
    <w:p w:rsidR="00A0043C" w:rsidRDefault="00A0043C" w:rsidP="00A0043C">
      <w:pPr>
        <w:jc w:val="both"/>
      </w:pPr>
      <w:r w:rsidRPr="00A0043C">
        <w:t>Se detallan a continuación las bases imponibles negativas pendientes de compensar</w:t>
      </w:r>
    </w:p>
    <w:p w:rsidR="00A0043C" w:rsidRPr="00A0043C" w:rsidRDefault="00A0043C" w:rsidP="00A0043C">
      <w:pPr>
        <w:jc w:val="both"/>
      </w:pPr>
    </w:p>
    <w:tbl>
      <w:tblPr>
        <w:tblW w:w="7840" w:type="dxa"/>
        <w:tblInd w:w="75" w:type="dxa"/>
        <w:tblCellMar>
          <w:left w:w="70" w:type="dxa"/>
          <w:right w:w="70" w:type="dxa"/>
        </w:tblCellMar>
        <w:tblLook w:val="04A0"/>
      </w:tblPr>
      <w:tblGrid>
        <w:gridCol w:w="2800"/>
        <w:gridCol w:w="1200"/>
        <w:gridCol w:w="1440"/>
        <w:gridCol w:w="1200"/>
        <w:gridCol w:w="1200"/>
      </w:tblGrid>
      <w:tr w:rsidR="00A0043C" w:rsidRPr="00A0043C" w:rsidTr="00A0043C">
        <w:trPr>
          <w:trHeight w:val="390"/>
        </w:trPr>
        <w:tc>
          <w:tcPr>
            <w:tcW w:w="28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043C" w:rsidRPr="00A0043C" w:rsidRDefault="00A0043C" w:rsidP="00A0043C">
            <w:pPr>
              <w:spacing w:after="0" w:line="240" w:lineRule="auto"/>
              <w:jc w:val="center"/>
              <w:rPr>
                <w:rFonts w:ascii="Calibri" w:eastAsia="Times New Roman" w:hAnsi="Calibri" w:cs="Times New Roman"/>
                <w:b/>
                <w:bCs/>
                <w:color w:val="000000"/>
                <w:sz w:val="20"/>
                <w:szCs w:val="20"/>
                <w:lang w:eastAsia="es-ES"/>
              </w:rPr>
            </w:pPr>
            <w:r w:rsidRPr="00A0043C">
              <w:rPr>
                <w:rFonts w:ascii="Calibri" w:eastAsia="Times New Roman" w:hAnsi="Calibri" w:cs="Times New Roman"/>
                <w:b/>
                <w:bCs/>
                <w:color w:val="000000"/>
                <w:sz w:val="20"/>
                <w:szCs w:val="20"/>
                <w:lang w:eastAsia="es-ES"/>
              </w:rPr>
              <w:t>Concepto</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A0043C" w:rsidRPr="00A0043C" w:rsidRDefault="00A0043C" w:rsidP="00A0043C">
            <w:pPr>
              <w:spacing w:after="0" w:line="240" w:lineRule="auto"/>
              <w:jc w:val="center"/>
              <w:rPr>
                <w:rFonts w:ascii="Calibri" w:eastAsia="Times New Roman" w:hAnsi="Calibri" w:cs="Times New Roman"/>
                <w:b/>
                <w:bCs/>
                <w:color w:val="000000"/>
                <w:sz w:val="20"/>
                <w:szCs w:val="20"/>
                <w:lang w:eastAsia="es-ES"/>
              </w:rPr>
            </w:pPr>
            <w:r w:rsidRPr="00A0043C">
              <w:rPr>
                <w:rFonts w:ascii="Calibri" w:eastAsia="Times New Roman" w:hAnsi="Calibri" w:cs="Times New Roman"/>
                <w:b/>
                <w:bCs/>
                <w:color w:val="000000"/>
                <w:sz w:val="20"/>
                <w:szCs w:val="20"/>
                <w:lang w:eastAsia="es-ES"/>
              </w:rPr>
              <w:t>A compensar</w:t>
            </w:r>
          </w:p>
        </w:tc>
        <w:tc>
          <w:tcPr>
            <w:tcW w:w="1440" w:type="dxa"/>
            <w:tcBorders>
              <w:top w:val="single" w:sz="4" w:space="0" w:color="auto"/>
              <w:left w:val="nil"/>
              <w:bottom w:val="single" w:sz="4" w:space="0" w:color="auto"/>
              <w:right w:val="single" w:sz="4" w:space="0" w:color="auto"/>
            </w:tcBorders>
            <w:shd w:val="clear" w:color="000000" w:fill="BFBFBF"/>
            <w:noWrap/>
            <w:vAlign w:val="bottom"/>
            <w:hideMark/>
          </w:tcPr>
          <w:p w:rsidR="00A0043C" w:rsidRPr="00A0043C" w:rsidRDefault="00A0043C" w:rsidP="00A0043C">
            <w:pPr>
              <w:spacing w:after="0" w:line="240" w:lineRule="auto"/>
              <w:jc w:val="center"/>
              <w:rPr>
                <w:rFonts w:ascii="Calibri" w:eastAsia="Times New Roman" w:hAnsi="Calibri" w:cs="Times New Roman"/>
                <w:b/>
                <w:bCs/>
                <w:color w:val="000000"/>
                <w:sz w:val="20"/>
                <w:szCs w:val="20"/>
                <w:lang w:eastAsia="es-ES"/>
              </w:rPr>
            </w:pPr>
            <w:r w:rsidRPr="00A0043C">
              <w:rPr>
                <w:rFonts w:ascii="Calibri" w:eastAsia="Times New Roman" w:hAnsi="Calibri" w:cs="Times New Roman"/>
                <w:b/>
                <w:bCs/>
                <w:color w:val="000000"/>
                <w:sz w:val="20"/>
                <w:szCs w:val="20"/>
                <w:lang w:eastAsia="es-ES"/>
              </w:rPr>
              <w:t>Aplicado</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A0043C" w:rsidRPr="00A0043C" w:rsidRDefault="00A0043C" w:rsidP="00A0043C">
            <w:pPr>
              <w:spacing w:after="0" w:line="240" w:lineRule="auto"/>
              <w:jc w:val="center"/>
              <w:rPr>
                <w:rFonts w:ascii="Calibri" w:eastAsia="Times New Roman" w:hAnsi="Calibri" w:cs="Times New Roman"/>
                <w:b/>
                <w:bCs/>
                <w:color w:val="000000"/>
                <w:sz w:val="20"/>
                <w:szCs w:val="20"/>
                <w:lang w:eastAsia="es-ES"/>
              </w:rPr>
            </w:pPr>
            <w:r w:rsidRPr="00A0043C">
              <w:rPr>
                <w:rFonts w:ascii="Calibri" w:eastAsia="Times New Roman" w:hAnsi="Calibri" w:cs="Times New Roman"/>
                <w:b/>
                <w:bCs/>
                <w:color w:val="000000"/>
                <w:sz w:val="20"/>
                <w:szCs w:val="20"/>
                <w:lang w:eastAsia="es-ES"/>
              </w:rPr>
              <w:t>Pendiente</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A0043C" w:rsidRPr="00A0043C" w:rsidRDefault="00A0043C" w:rsidP="00A0043C">
            <w:pPr>
              <w:spacing w:after="0" w:line="240" w:lineRule="auto"/>
              <w:jc w:val="center"/>
              <w:rPr>
                <w:rFonts w:ascii="Calibri" w:eastAsia="Times New Roman" w:hAnsi="Calibri" w:cs="Times New Roman"/>
                <w:b/>
                <w:bCs/>
                <w:color w:val="000000"/>
                <w:sz w:val="20"/>
                <w:szCs w:val="20"/>
                <w:lang w:eastAsia="es-ES"/>
              </w:rPr>
            </w:pPr>
            <w:r w:rsidRPr="00A0043C">
              <w:rPr>
                <w:rFonts w:ascii="Calibri" w:eastAsia="Times New Roman" w:hAnsi="Calibri" w:cs="Times New Roman"/>
                <w:b/>
                <w:bCs/>
                <w:color w:val="000000"/>
                <w:sz w:val="20"/>
                <w:szCs w:val="20"/>
                <w:lang w:eastAsia="es-ES"/>
              </w:rPr>
              <w:t>Límite año</w:t>
            </w:r>
          </w:p>
        </w:tc>
      </w:tr>
      <w:tr w:rsidR="00A0043C" w:rsidRPr="00A0043C" w:rsidTr="00A0043C">
        <w:trPr>
          <w:trHeight w:val="46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043C" w:rsidRPr="00BC1379" w:rsidRDefault="00A0043C" w:rsidP="00A0043C">
            <w:pPr>
              <w:spacing w:after="0" w:line="240" w:lineRule="auto"/>
              <w:rPr>
                <w:rFonts w:ascii="Calibri" w:eastAsia="Times New Roman" w:hAnsi="Calibri" w:cs="Times New Roman"/>
                <w:sz w:val="20"/>
                <w:szCs w:val="20"/>
                <w:lang w:val="en-US" w:eastAsia="es-ES"/>
              </w:rPr>
            </w:pPr>
            <w:r w:rsidRPr="00BC1379">
              <w:rPr>
                <w:rFonts w:ascii="Calibri" w:eastAsia="Times New Roman" w:hAnsi="Calibri" w:cs="Times New Roman"/>
                <w:sz w:val="20"/>
                <w:szCs w:val="20"/>
                <w:lang w:val="en-US" w:eastAsia="es-ES"/>
              </w:rPr>
              <w:t xml:space="preserve">B.I. </w:t>
            </w:r>
            <w:proofErr w:type="spellStart"/>
            <w:r w:rsidRPr="00BC1379">
              <w:rPr>
                <w:rFonts w:ascii="Calibri" w:eastAsia="Times New Roman" w:hAnsi="Calibri" w:cs="Times New Roman"/>
                <w:sz w:val="20"/>
                <w:szCs w:val="20"/>
                <w:lang w:val="en-US" w:eastAsia="es-ES"/>
              </w:rPr>
              <w:t>Negat</w:t>
            </w:r>
            <w:proofErr w:type="spellEnd"/>
            <w:r w:rsidRPr="00BC1379">
              <w:rPr>
                <w:rFonts w:ascii="Calibri" w:eastAsia="Times New Roman" w:hAnsi="Calibri" w:cs="Times New Roman"/>
                <w:sz w:val="20"/>
                <w:szCs w:val="20"/>
                <w:lang w:val="en-US" w:eastAsia="es-ES"/>
              </w:rPr>
              <w:t xml:space="preserve">. Reg. General </w:t>
            </w:r>
            <w:proofErr w:type="spellStart"/>
            <w:r w:rsidRPr="00BC1379">
              <w:rPr>
                <w:rFonts w:ascii="Calibri" w:eastAsia="Times New Roman" w:hAnsi="Calibri" w:cs="Times New Roman"/>
                <w:sz w:val="20"/>
                <w:szCs w:val="20"/>
                <w:lang w:val="en-US" w:eastAsia="es-ES"/>
              </w:rPr>
              <w:t>Ej</w:t>
            </w:r>
            <w:proofErr w:type="spellEnd"/>
            <w:r w:rsidRPr="00BC1379">
              <w:rPr>
                <w:rFonts w:ascii="Calibri" w:eastAsia="Times New Roman" w:hAnsi="Calibri" w:cs="Times New Roman"/>
                <w:sz w:val="20"/>
                <w:szCs w:val="20"/>
                <w:lang w:val="en-US" w:eastAsia="es-ES"/>
              </w:rPr>
              <w:t>. 2013</w:t>
            </w:r>
          </w:p>
        </w:tc>
        <w:tc>
          <w:tcPr>
            <w:tcW w:w="1200" w:type="dxa"/>
            <w:tcBorders>
              <w:top w:val="nil"/>
              <w:left w:val="nil"/>
              <w:bottom w:val="single" w:sz="4" w:space="0" w:color="auto"/>
              <w:right w:val="single" w:sz="4" w:space="0" w:color="auto"/>
            </w:tcBorders>
            <w:shd w:val="clear" w:color="auto" w:fill="auto"/>
            <w:noWrap/>
            <w:vAlign w:val="bottom"/>
            <w:hideMark/>
          </w:tcPr>
          <w:p w:rsidR="00A0043C" w:rsidRPr="00BC1379" w:rsidRDefault="00A0043C" w:rsidP="00A0043C">
            <w:pPr>
              <w:spacing w:after="0" w:line="240" w:lineRule="auto"/>
              <w:jc w:val="right"/>
              <w:rPr>
                <w:rFonts w:ascii="Calibri" w:eastAsia="Times New Roman" w:hAnsi="Calibri" w:cs="Times New Roman"/>
                <w:sz w:val="20"/>
                <w:szCs w:val="20"/>
                <w:lang w:eastAsia="es-ES"/>
              </w:rPr>
            </w:pPr>
            <w:r w:rsidRPr="00BC1379">
              <w:rPr>
                <w:rFonts w:ascii="Calibri" w:eastAsia="Times New Roman" w:hAnsi="Calibri" w:cs="Times New Roman"/>
                <w:sz w:val="20"/>
                <w:szCs w:val="20"/>
                <w:lang w:eastAsia="es-ES"/>
              </w:rPr>
              <w:t>76.159,86</w:t>
            </w:r>
          </w:p>
        </w:tc>
        <w:tc>
          <w:tcPr>
            <w:tcW w:w="1440" w:type="dxa"/>
            <w:tcBorders>
              <w:top w:val="nil"/>
              <w:left w:val="nil"/>
              <w:bottom w:val="single" w:sz="4" w:space="0" w:color="auto"/>
              <w:right w:val="single" w:sz="4" w:space="0" w:color="auto"/>
            </w:tcBorders>
            <w:shd w:val="clear" w:color="auto" w:fill="auto"/>
            <w:noWrap/>
            <w:vAlign w:val="bottom"/>
            <w:hideMark/>
          </w:tcPr>
          <w:p w:rsidR="00A0043C" w:rsidRPr="00BC1379" w:rsidRDefault="00A0043C" w:rsidP="00A0043C">
            <w:pPr>
              <w:spacing w:after="0" w:line="240" w:lineRule="auto"/>
              <w:jc w:val="right"/>
              <w:rPr>
                <w:rFonts w:ascii="Calibri" w:eastAsia="Times New Roman" w:hAnsi="Calibri" w:cs="Times New Roman"/>
                <w:sz w:val="20"/>
                <w:szCs w:val="20"/>
                <w:lang w:eastAsia="es-ES"/>
              </w:rPr>
            </w:pPr>
            <w:r w:rsidRPr="00BC1379">
              <w:rPr>
                <w:rFonts w:ascii="Calibri" w:eastAsia="Times New Roman" w:hAnsi="Calibri" w:cs="Times New Roman"/>
                <w:sz w:val="20"/>
                <w:szCs w:val="20"/>
                <w:lang w:eastAsia="es-ES"/>
              </w:rPr>
              <w:t>55.288,43</w:t>
            </w:r>
          </w:p>
        </w:tc>
        <w:tc>
          <w:tcPr>
            <w:tcW w:w="1200" w:type="dxa"/>
            <w:tcBorders>
              <w:top w:val="nil"/>
              <w:left w:val="nil"/>
              <w:bottom w:val="single" w:sz="4" w:space="0" w:color="auto"/>
              <w:right w:val="single" w:sz="4" w:space="0" w:color="auto"/>
            </w:tcBorders>
            <w:shd w:val="clear" w:color="auto" w:fill="auto"/>
            <w:noWrap/>
            <w:vAlign w:val="bottom"/>
            <w:hideMark/>
          </w:tcPr>
          <w:p w:rsidR="00A0043C" w:rsidRPr="00BC1379" w:rsidRDefault="00A0043C" w:rsidP="00A0043C">
            <w:pPr>
              <w:spacing w:after="0" w:line="240" w:lineRule="auto"/>
              <w:jc w:val="right"/>
              <w:rPr>
                <w:rFonts w:ascii="Calibri" w:eastAsia="Times New Roman" w:hAnsi="Calibri" w:cs="Times New Roman"/>
                <w:sz w:val="20"/>
                <w:szCs w:val="20"/>
                <w:lang w:eastAsia="es-ES"/>
              </w:rPr>
            </w:pPr>
            <w:r w:rsidRPr="00BC1379">
              <w:rPr>
                <w:rFonts w:ascii="Calibri" w:eastAsia="Times New Roman" w:hAnsi="Calibri" w:cs="Times New Roman"/>
                <w:sz w:val="20"/>
                <w:szCs w:val="20"/>
                <w:lang w:eastAsia="es-ES"/>
              </w:rPr>
              <w:t>20.871,43</w:t>
            </w:r>
          </w:p>
        </w:tc>
        <w:tc>
          <w:tcPr>
            <w:tcW w:w="1200" w:type="dxa"/>
            <w:tcBorders>
              <w:top w:val="nil"/>
              <w:left w:val="nil"/>
              <w:bottom w:val="single" w:sz="4" w:space="0" w:color="auto"/>
              <w:right w:val="single" w:sz="4" w:space="0" w:color="auto"/>
            </w:tcBorders>
            <w:shd w:val="clear" w:color="auto" w:fill="auto"/>
            <w:noWrap/>
            <w:vAlign w:val="bottom"/>
            <w:hideMark/>
          </w:tcPr>
          <w:p w:rsidR="00A0043C" w:rsidRPr="00BC1379" w:rsidRDefault="00A0043C" w:rsidP="00A0043C">
            <w:pPr>
              <w:spacing w:after="0" w:line="240" w:lineRule="auto"/>
              <w:rPr>
                <w:rFonts w:ascii="Calibri" w:eastAsia="Times New Roman" w:hAnsi="Calibri" w:cs="Times New Roman"/>
                <w:sz w:val="20"/>
                <w:szCs w:val="20"/>
                <w:lang w:eastAsia="es-ES"/>
              </w:rPr>
            </w:pPr>
            <w:r w:rsidRPr="00BC1379">
              <w:rPr>
                <w:rFonts w:ascii="Calibri" w:eastAsia="Times New Roman" w:hAnsi="Calibri" w:cs="Times New Roman"/>
                <w:sz w:val="20"/>
                <w:szCs w:val="20"/>
                <w:lang w:eastAsia="es-ES"/>
              </w:rPr>
              <w:t xml:space="preserve"> 2031 / 2032</w:t>
            </w:r>
          </w:p>
        </w:tc>
      </w:tr>
    </w:tbl>
    <w:p w:rsidR="00A0043C" w:rsidRDefault="00A0043C" w:rsidP="00A0043C"/>
    <w:p w:rsidR="00A0043C" w:rsidRDefault="00A0043C" w:rsidP="00A0043C">
      <w:r>
        <w:t xml:space="preserve">La cuenta de crédito fiscal </w:t>
      </w:r>
      <w:r w:rsidRPr="00A0043C">
        <w:t>por compensación de pérdidas al inicio y</w:t>
      </w:r>
      <w:r>
        <w:t xml:space="preserve"> fin del ejercicio presenta un saldo de </w:t>
      </w:r>
      <w:r w:rsidR="00C73538">
        <w:t>0,00 € (363,01 en 2016)</w:t>
      </w:r>
    </w:p>
    <w:p w:rsidR="00947F76" w:rsidRDefault="00947F76" w:rsidP="00A0043C">
      <w:r>
        <w:t>Los incentivos fiscales que se aplican en 2017, se refieren a A.F.N., en base a cuadro siguiente:</w:t>
      </w:r>
    </w:p>
    <w:p w:rsidR="009D319E" w:rsidRDefault="009D319E" w:rsidP="00A0043C"/>
    <w:tbl>
      <w:tblPr>
        <w:tblW w:w="8146" w:type="dxa"/>
        <w:tblInd w:w="58" w:type="dxa"/>
        <w:tblCellMar>
          <w:left w:w="70" w:type="dxa"/>
          <w:right w:w="70" w:type="dxa"/>
        </w:tblCellMar>
        <w:tblLook w:val="04A0"/>
      </w:tblPr>
      <w:tblGrid>
        <w:gridCol w:w="3556"/>
        <w:gridCol w:w="1200"/>
        <w:gridCol w:w="1210"/>
        <w:gridCol w:w="1200"/>
        <w:gridCol w:w="980"/>
      </w:tblGrid>
      <w:tr w:rsidR="00947F76" w:rsidRPr="00947F76" w:rsidTr="00947F76">
        <w:trPr>
          <w:trHeight w:val="525"/>
        </w:trPr>
        <w:tc>
          <w:tcPr>
            <w:tcW w:w="3556" w:type="dxa"/>
            <w:tcBorders>
              <w:top w:val="single" w:sz="8" w:space="0" w:color="auto"/>
              <w:left w:val="nil"/>
              <w:bottom w:val="double" w:sz="6" w:space="0" w:color="auto"/>
              <w:right w:val="nil"/>
            </w:tcBorders>
            <w:shd w:val="clear" w:color="000000" w:fill="BFBFBF"/>
            <w:noWrap/>
            <w:vAlign w:val="center"/>
            <w:hideMark/>
          </w:tcPr>
          <w:p w:rsidR="00947F76" w:rsidRPr="00947F76" w:rsidRDefault="00947F76" w:rsidP="00947F76">
            <w:pPr>
              <w:spacing w:after="0" w:line="240" w:lineRule="auto"/>
              <w:jc w:val="center"/>
              <w:rPr>
                <w:rFonts w:ascii="Calibri" w:eastAsia="Times New Roman" w:hAnsi="Calibri" w:cs="Calibri"/>
                <w:b/>
                <w:bCs/>
                <w:color w:val="000000"/>
                <w:sz w:val="20"/>
                <w:szCs w:val="20"/>
                <w:lang w:eastAsia="es-ES"/>
              </w:rPr>
            </w:pPr>
            <w:r w:rsidRPr="00947F76">
              <w:rPr>
                <w:rFonts w:ascii="Calibri" w:eastAsia="Times New Roman" w:hAnsi="Calibri" w:cs="Calibri"/>
                <w:b/>
                <w:bCs/>
                <w:color w:val="000000"/>
                <w:sz w:val="20"/>
                <w:szCs w:val="20"/>
                <w:lang w:eastAsia="es-ES"/>
              </w:rPr>
              <w:t xml:space="preserve">DESCRIPCIÓN </w:t>
            </w:r>
          </w:p>
        </w:tc>
        <w:tc>
          <w:tcPr>
            <w:tcW w:w="1200" w:type="dxa"/>
            <w:tcBorders>
              <w:top w:val="single" w:sz="8" w:space="0" w:color="auto"/>
              <w:left w:val="nil"/>
              <w:bottom w:val="double" w:sz="6" w:space="0" w:color="auto"/>
              <w:right w:val="nil"/>
            </w:tcBorders>
            <w:shd w:val="clear" w:color="000000" w:fill="BFBFBF"/>
            <w:vAlign w:val="center"/>
            <w:hideMark/>
          </w:tcPr>
          <w:p w:rsidR="00947F76" w:rsidRPr="00947F76" w:rsidRDefault="00947F76" w:rsidP="00947F76">
            <w:pPr>
              <w:spacing w:after="0" w:line="240" w:lineRule="auto"/>
              <w:jc w:val="center"/>
              <w:rPr>
                <w:rFonts w:ascii="Calibri" w:eastAsia="Times New Roman" w:hAnsi="Calibri" w:cs="Calibri"/>
                <w:b/>
                <w:bCs/>
                <w:color w:val="000000"/>
                <w:sz w:val="20"/>
                <w:szCs w:val="20"/>
                <w:lang w:eastAsia="es-ES"/>
              </w:rPr>
            </w:pPr>
            <w:r w:rsidRPr="00947F76">
              <w:rPr>
                <w:rFonts w:ascii="Calibri" w:eastAsia="Times New Roman" w:hAnsi="Calibri" w:cs="Calibri"/>
                <w:b/>
                <w:bCs/>
                <w:color w:val="000000"/>
                <w:sz w:val="20"/>
                <w:szCs w:val="20"/>
                <w:lang w:eastAsia="es-ES"/>
              </w:rPr>
              <w:t xml:space="preserve">DED. GENERADA </w:t>
            </w:r>
          </w:p>
        </w:tc>
        <w:tc>
          <w:tcPr>
            <w:tcW w:w="1210" w:type="dxa"/>
            <w:tcBorders>
              <w:top w:val="single" w:sz="8" w:space="0" w:color="auto"/>
              <w:left w:val="nil"/>
              <w:bottom w:val="double" w:sz="6" w:space="0" w:color="auto"/>
              <w:right w:val="nil"/>
            </w:tcBorders>
            <w:shd w:val="clear" w:color="000000" w:fill="BFBFBF"/>
            <w:vAlign w:val="center"/>
            <w:hideMark/>
          </w:tcPr>
          <w:p w:rsidR="00947F76" w:rsidRPr="00947F76" w:rsidRDefault="00947F76" w:rsidP="00947F76">
            <w:pPr>
              <w:spacing w:after="0" w:line="240" w:lineRule="auto"/>
              <w:jc w:val="center"/>
              <w:rPr>
                <w:rFonts w:ascii="Calibri" w:eastAsia="Times New Roman" w:hAnsi="Calibri" w:cs="Calibri"/>
                <w:b/>
                <w:bCs/>
                <w:color w:val="000000"/>
                <w:sz w:val="20"/>
                <w:szCs w:val="20"/>
                <w:lang w:eastAsia="es-ES"/>
              </w:rPr>
            </w:pPr>
            <w:r w:rsidRPr="00947F76">
              <w:rPr>
                <w:rFonts w:ascii="Calibri" w:eastAsia="Times New Roman" w:hAnsi="Calibri" w:cs="Calibri"/>
                <w:b/>
                <w:bCs/>
                <w:color w:val="000000"/>
                <w:sz w:val="20"/>
                <w:szCs w:val="20"/>
                <w:lang w:eastAsia="es-ES"/>
              </w:rPr>
              <w:t xml:space="preserve">DED. APLICADA </w:t>
            </w:r>
          </w:p>
        </w:tc>
        <w:tc>
          <w:tcPr>
            <w:tcW w:w="1200" w:type="dxa"/>
            <w:tcBorders>
              <w:top w:val="single" w:sz="8" w:space="0" w:color="auto"/>
              <w:left w:val="nil"/>
              <w:bottom w:val="double" w:sz="6" w:space="0" w:color="auto"/>
              <w:right w:val="nil"/>
            </w:tcBorders>
            <w:shd w:val="clear" w:color="000000" w:fill="BFBFBF"/>
            <w:vAlign w:val="center"/>
            <w:hideMark/>
          </w:tcPr>
          <w:p w:rsidR="00947F76" w:rsidRPr="00947F76" w:rsidRDefault="00947F76" w:rsidP="00947F76">
            <w:pPr>
              <w:spacing w:after="0" w:line="240" w:lineRule="auto"/>
              <w:jc w:val="center"/>
              <w:rPr>
                <w:rFonts w:ascii="Calibri" w:eastAsia="Times New Roman" w:hAnsi="Calibri" w:cs="Calibri"/>
                <w:b/>
                <w:bCs/>
                <w:color w:val="000000"/>
                <w:sz w:val="20"/>
                <w:szCs w:val="20"/>
                <w:lang w:eastAsia="es-ES"/>
              </w:rPr>
            </w:pPr>
            <w:r w:rsidRPr="00947F76">
              <w:rPr>
                <w:rFonts w:ascii="Calibri" w:eastAsia="Times New Roman" w:hAnsi="Calibri" w:cs="Calibri"/>
                <w:b/>
                <w:bCs/>
                <w:color w:val="000000"/>
                <w:sz w:val="20"/>
                <w:szCs w:val="20"/>
                <w:lang w:eastAsia="es-ES"/>
              </w:rPr>
              <w:t xml:space="preserve">DED. PENDIENTE </w:t>
            </w:r>
          </w:p>
        </w:tc>
        <w:tc>
          <w:tcPr>
            <w:tcW w:w="980" w:type="dxa"/>
            <w:tcBorders>
              <w:top w:val="single" w:sz="8" w:space="0" w:color="auto"/>
              <w:left w:val="nil"/>
              <w:bottom w:val="double" w:sz="6" w:space="0" w:color="auto"/>
              <w:right w:val="nil"/>
            </w:tcBorders>
            <w:shd w:val="clear" w:color="000000" w:fill="BFBFBF"/>
            <w:vAlign w:val="center"/>
            <w:hideMark/>
          </w:tcPr>
          <w:p w:rsidR="00947F76" w:rsidRPr="00947F76" w:rsidRDefault="00947F76" w:rsidP="00947F76">
            <w:pPr>
              <w:spacing w:after="0" w:line="240" w:lineRule="auto"/>
              <w:jc w:val="center"/>
              <w:rPr>
                <w:rFonts w:ascii="Calibri" w:eastAsia="Times New Roman" w:hAnsi="Calibri" w:cs="Calibri"/>
                <w:b/>
                <w:bCs/>
                <w:color w:val="000000"/>
                <w:sz w:val="20"/>
                <w:szCs w:val="20"/>
                <w:lang w:eastAsia="es-ES"/>
              </w:rPr>
            </w:pPr>
            <w:r w:rsidRPr="00947F76">
              <w:rPr>
                <w:rFonts w:ascii="Calibri" w:eastAsia="Times New Roman" w:hAnsi="Calibri" w:cs="Calibri"/>
                <w:b/>
                <w:bCs/>
                <w:color w:val="000000"/>
                <w:sz w:val="20"/>
                <w:szCs w:val="20"/>
                <w:lang w:eastAsia="es-ES"/>
              </w:rPr>
              <w:t xml:space="preserve">AÑO LÍMITE </w:t>
            </w:r>
          </w:p>
        </w:tc>
      </w:tr>
      <w:tr w:rsidR="00947F76" w:rsidRPr="00947F76" w:rsidTr="00947F76">
        <w:trPr>
          <w:trHeight w:val="450"/>
        </w:trPr>
        <w:tc>
          <w:tcPr>
            <w:tcW w:w="3556" w:type="dxa"/>
            <w:tcBorders>
              <w:top w:val="nil"/>
              <w:left w:val="single" w:sz="8" w:space="0" w:color="auto"/>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 xml:space="preserve">Inversiones en Canarias (AFN) año 2017 </w:t>
            </w:r>
          </w:p>
        </w:tc>
        <w:tc>
          <w:tcPr>
            <w:tcW w:w="120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right"/>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102.774,80</w:t>
            </w:r>
          </w:p>
        </w:tc>
        <w:tc>
          <w:tcPr>
            <w:tcW w:w="121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right"/>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3.326,63</w:t>
            </w:r>
          </w:p>
        </w:tc>
        <w:tc>
          <w:tcPr>
            <w:tcW w:w="120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right"/>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99.448,17</w:t>
            </w:r>
          </w:p>
        </w:tc>
        <w:tc>
          <w:tcPr>
            <w:tcW w:w="98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center"/>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2.032</w:t>
            </w:r>
          </w:p>
        </w:tc>
      </w:tr>
      <w:tr w:rsidR="00947F76" w:rsidRPr="00947F76" w:rsidTr="00947F76">
        <w:trPr>
          <w:trHeight w:val="405"/>
        </w:trPr>
        <w:tc>
          <w:tcPr>
            <w:tcW w:w="3556" w:type="dxa"/>
            <w:tcBorders>
              <w:top w:val="nil"/>
              <w:left w:val="single" w:sz="8" w:space="0" w:color="auto"/>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 xml:space="preserve">Inversiones en Canarias (AFN) año 2016 </w:t>
            </w:r>
          </w:p>
        </w:tc>
        <w:tc>
          <w:tcPr>
            <w:tcW w:w="120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right"/>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2.734,18</w:t>
            </w:r>
          </w:p>
        </w:tc>
        <w:tc>
          <w:tcPr>
            <w:tcW w:w="121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right"/>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2.734,18</w:t>
            </w:r>
          </w:p>
        </w:tc>
        <w:tc>
          <w:tcPr>
            <w:tcW w:w="120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right"/>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0,00</w:t>
            </w:r>
          </w:p>
        </w:tc>
        <w:tc>
          <w:tcPr>
            <w:tcW w:w="980" w:type="dxa"/>
            <w:tcBorders>
              <w:top w:val="nil"/>
              <w:left w:val="nil"/>
              <w:bottom w:val="single" w:sz="8" w:space="0" w:color="auto"/>
              <w:right w:val="single" w:sz="8" w:space="0" w:color="auto"/>
            </w:tcBorders>
            <w:shd w:val="clear" w:color="auto" w:fill="auto"/>
            <w:vAlign w:val="bottom"/>
            <w:hideMark/>
          </w:tcPr>
          <w:p w:rsidR="00947F76" w:rsidRPr="00947F76" w:rsidRDefault="00947F76" w:rsidP="00947F76">
            <w:pPr>
              <w:spacing w:after="0" w:line="240" w:lineRule="auto"/>
              <w:jc w:val="center"/>
              <w:rPr>
                <w:rFonts w:ascii="Calibri" w:eastAsia="Times New Roman" w:hAnsi="Calibri" w:cs="Calibri"/>
                <w:color w:val="000000"/>
                <w:sz w:val="20"/>
                <w:szCs w:val="20"/>
                <w:lang w:eastAsia="es-ES"/>
              </w:rPr>
            </w:pPr>
            <w:r w:rsidRPr="00947F76">
              <w:rPr>
                <w:rFonts w:ascii="Calibri" w:eastAsia="Times New Roman" w:hAnsi="Calibri" w:cs="Calibri"/>
                <w:color w:val="000000"/>
                <w:sz w:val="20"/>
                <w:szCs w:val="20"/>
                <w:lang w:eastAsia="es-ES"/>
              </w:rPr>
              <w:t>2.031</w:t>
            </w:r>
          </w:p>
        </w:tc>
      </w:tr>
    </w:tbl>
    <w:p w:rsidR="0034731E" w:rsidRPr="008A0E1E" w:rsidRDefault="0034731E" w:rsidP="00907090">
      <w:pPr>
        <w:pStyle w:val="Ttulo4"/>
        <w:rPr>
          <w:sz w:val="6"/>
        </w:rPr>
      </w:pPr>
    </w:p>
    <w:p w:rsidR="00907090" w:rsidRPr="008A0E1E" w:rsidRDefault="00A0043C" w:rsidP="00907090">
      <w:pPr>
        <w:pStyle w:val="Ttulo4"/>
      </w:pPr>
      <w:r w:rsidRPr="008A0E1E">
        <w:t>9</w:t>
      </w:r>
      <w:r w:rsidR="00907090" w:rsidRPr="008A0E1E">
        <w:t xml:space="preserve">. OPERACIONES CON PARTES VINCULADAS </w:t>
      </w:r>
    </w:p>
    <w:p w:rsidR="00907090" w:rsidRDefault="00907090" w:rsidP="00907090">
      <w:pPr>
        <w:pStyle w:val="Default"/>
        <w:rPr>
          <w:sz w:val="20"/>
          <w:szCs w:val="20"/>
        </w:rPr>
      </w:pPr>
    </w:p>
    <w:p w:rsidR="00C73538" w:rsidRPr="00C73538" w:rsidRDefault="00C73538" w:rsidP="00C73538">
      <w:pPr>
        <w:jc w:val="both"/>
      </w:pPr>
      <w:r w:rsidRPr="00C73538">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C73538" w:rsidRDefault="00C73538" w:rsidP="00C73538">
      <w:pPr>
        <w:jc w:val="both"/>
      </w:pPr>
      <w:r w:rsidRPr="00C73538">
        <w:t>La información sobre operaciones con partes vinculadas de la Sociedad se recoge en los siguientes cuadro</w:t>
      </w:r>
      <w:r w:rsidR="00D0697B">
        <w:t>s</w:t>
      </w:r>
      <w:r w:rsidRPr="00C73538">
        <w:t>:</w:t>
      </w:r>
    </w:p>
    <w:tbl>
      <w:tblPr>
        <w:tblW w:w="8800" w:type="dxa"/>
        <w:tblInd w:w="58" w:type="dxa"/>
        <w:tblCellMar>
          <w:left w:w="70" w:type="dxa"/>
          <w:right w:w="70" w:type="dxa"/>
        </w:tblCellMar>
        <w:tblLook w:val="04A0"/>
      </w:tblPr>
      <w:tblGrid>
        <w:gridCol w:w="6249"/>
        <w:gridCol w:w="1340"/>
        <w:gridCol w:w="1211"/>
      </w:tblGrid>
      <w:tr w:rsidR="009A1FA5" w:rsidRPr="009A1FA5" w:rsidTr="009A1FA5">
        <w:trPr>
          <w:trHeight w:val="600"/>
        </w:trPr>
        <w:tc>
          <w:tcPr>
            <w:tcW w:w="6249" w:type="dxa"/>
            <w:tcBorders>
              <w:top w:val="single" w:sz="4" w:space="0" w:color="auto"/>
              <w:left w:val="single" w:sz="4" w:space="0" w:color="auto"/>
              <w:bottom w:val="nil"/>
              <w:right w:val="single" w:sz="4" w:space="0" w:color="auto"/>
            </w:tcBorders>
            <w:shd w:val="clear" w:color="000000" w:fill="BFBFBF"/>
            <w:noWrap/>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DESCRIPCIÓN</w:t>
            </w:r>
          </w:p>
        </w:tc>
        <w:tc>
          <w:tcPr>
            <w:tcW w:w="1340" w:type="dxa"/>
            <w:tcBorders>
              <w:top w:val="single" w:sz="4" w:space="0" w:color="auto"/>
              <w:left w:val="nil"/>
              <w:bottom w:val="nil"/>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ENTIDAD DOMINANTE</w:t>
            </w:r>
          </w:p>
        </w:tc>
        <w:tc>
          <w:tcPr>
            <w:tcW w:w="1211" w:type="dxa"/>
            <w:tcBorders>
              <w:top w:val="single" w:sz="4" w:space="0" w:color="auto"/>
              <w:left w:val="nil"/>
              <w:bottom w:val="nil"/>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ENTIDAD DOMINANTE</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000000" w:fill="BFBFBF"/>
            <w:noWrap/>
            <w:vAlign w:val="bottom"/>
            <w:hideMark/>
          </w:tcPr>
          <w:p w:rsidR="009A1FA5" w:rsidRPr="009A1FA5" w:rsidRDefault="009A1FA5" w:rsidP="009A1FA5">
            <w:pPr>
              <w:spacing w:after="0" w:line="240" w:lineRule="auto"/>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 </w:t>
            </w:r>
          </w:p>
        </w:tc>
        <w:tc>
          <w:tcPr>
            <w:tcW w:w="1340" w:type="dxa"/>
            <w:tcBorders>
              <w:top w:val="nil"/>
              <w:left w:val="nil"/>
              <w:bottom w:val="single" w:sz="4" w:space="0" w:color="auto"/>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2017</w:t>
            </w:r>
          </w:p>
        </w:tc>
        <w:tc>
          <w:tcPr>
            <w:tcW w:w="1211" w:type="dxa"/>
            <w:tcBorders>
              <w:top w:val="nil"/>
              <w:left w:val="nil"/>
              <w:bottom w:val="single" w:sz="4" w:space="0" w:color="auto"/>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2016</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A)ACTIVO NO CORRIENTE</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0,00</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363,01</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1.Inversiones financieras a largo plazo, de las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Correcciones valorativas por créditos de dudoso cobro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2.Activos por impuesto diferido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363,01</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B)ACTIVO CORRIENTE</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105.721,35</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0,00</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1.Deudores comerciales y otras cuentas a cobrar</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a) Clientes por ventas y prestación de servicios a largo plazo, de los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Correcciones valorativas por clientes de dudoso cobro a largo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 Clientes por ventas y prestación de servicios a corto plazo, de las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Correcciones valorativas por clientes de dudoso cobro a corto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 Accionistas (socios) por desembolsos exigidos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d)Otros deudores, de los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-Correcciones valorativas por otros deudores de dudoso cobro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2. Inversiones financieras a corto plazo, de las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105.721,35</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-Créditos a empresas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105.721,35</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8.724,16</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C)PASIVO NO CORRIENTE</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1.Deudas a largo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a)Deudas con entidades de crédito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b)Acreedores por arrendamiento financiero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c)Otras deudas a largo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2.Deuda con características especiales a largo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D)PASIVO CORRIENTE</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64.793,14</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241.640,48</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1.Deudas a corto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5.541,15</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110.490,06</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a) Obligaciones y otros valores negociables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 Deudas con entidades de crédito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 Acreedores por arrendamiento financiero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d) Derivados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e)Otros pasivos financieros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5.541,15</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110.490,06</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2.Acreedores comerciales y otras cuentas a pagar</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59.251,99</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131.150,42</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lastRenderedPageBreak/>
              <w:t>a)Proveedores a largo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b)Proveedores a corto plazo</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c)Acreedores varios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59.251,99</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131.150,42</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d) Personal</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e)Anticipos de clientes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nil"/>
              <w:bottom w:val="nil"/>
              <w:right w:val="nil"/>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sz w:val="20"/>
                <w:szCs w:val="20"/>
                <w:lang w:eastAsia="es-ES"/>
              </w:rPr>
            </w:pPr>
          </w:p>
        </w:tc>
        <w:tc>
          <w:tcPr>
            <w:tcW w:w="1340" w:type="dxa"/>
            <w:tcBorders>
              <w:top w:val="nil"/>
              <w:left w:val="nil"/>
              <w:bottom w:val="nil"/>
              <w:right w:val="nil"/>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sz w:val="20"/>
                <w:szCs w:val="20"/>
                <w:lang w:eastAsia="es-ES"/>
              </w:rPr>
            </w:pPr>
          </w:p>
        </w:tc>
        <w:tc>
          <w:tcPr>
            <w:tcW w:w="1211" w:type="dxa"/>
            <w:tcBorders>
              <w:top w:val="nil"/>
              <w:left w:val="nil"/>
              <w:bottom w:val="nil"/>
              <w:right w:val="nil"/>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sz w:val="20"/>
                <w:szCs w:val="20"/>
                <w:lang w:eastAsia="es-ES"/>
              </w:rPr>
            </w:pPr>
          </w:p>
        </w:tc>
      </w:tr>
      <w:tr w:rsidR="009A1FA5" w:rsidRPr="009A1FA5" w:rsidTr="009A1FA5">
        <w:trPr>
          <w:trHeight w:val="525"/>
        </w:trPr>
        <w:tc>
          <w:tcPr>
            <w:tcW w:w="6249" w:type="dxa"/>
            <w:tcBorders>
              <w:top w:val="single" w:sz="4" w:space="0" w:color="auto"/>
              <w:left w:val="single" w:sz="4" w:space="0" w:color="auto"/>
              <w:bottom w:val="nil"/>
              <w:right w:val="single" w:sz="4" w:space="0" w:color="auto"/>
            </w:tcBorders>
            <w:shd w:val="clear" w:color="000000" w:fill="BFBFBF"/>
            <w:noWrap/>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DESCRIPCIÓN</w:t>
            </w:r>
          </w:p>
        </w:tc>
        <w:tc>
          <w:tcPr>
            <w:tcW w:w="1340" w:type="dxa"/>
            <w:tcBorders>
              <w:top w:val="single" w:sz="4" w:space="0" w:color="auto"/>
              <w:left w:val="nil"/>
              <w:bottom w:val="nil"/>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ENTIDAD DOMINANTE</w:t>
            </w:r>
          </w:p>
        </w:tc>
        <w:tc>
          <w:tcPr>
            <w:tcW w:w="1211" w:type="dxa"/>
            <w:tcBorders>
              <w:top w:val="single" w:sz="4" w:space="0" w:color="auto"/>
              <w:left w:val="nil"/>
              <w:bottom w:val="nil"/>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ENTIDAD DOMINANTE</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000000" w:fill="BFBFBF"/>
            <w:noWrap/>
            <w:vAlign w:val="bottom"/>
            <w:hideMark/>
          </w:tcPr>
          <w:p w:rsidR="009A1FA5" w:rsidRPr="009A1FA5" w:rsidRDefault="009A1FA5" w:rsidP="009A1FA5">
            <w:pPr>
              <w:spacing w:after="0" w:line="240" w:lineRule="auto"/>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 </w:t>
            </w:r>
          </w:p>
        </w:tc>
        <w:tc>
          <w:tcPr>
            <w:tcW w:w="1340" w:type="dxa"/>
            <w:tcBorders>
              <w:top w:val="nil"/>
              <w:left w:val="nil"/>
              <w:bottom w:val="single" w:sz="4" w:space="0" w:color="auto"/>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2017</w:t>
            </w:r>
          </w:p>
        </w:tc>
        <w:tc>
          <w:tcPr>
            <w:tcW w:w="1211" w:type="dxa"/>
            <w:tcBorders>
              <w:top w:val="nil"/>
              <w:left w:val="nil"/>
              <w:bottom w:val="single" w:sz="4" w:space="0" w:color="auto"/>
              <w:right w:val="single" w:sz="4" w:space="0" w:color="auto"/>
            </w:tcBorders>
            <w:shd w:val="clear" w:color="000000" w:fill="BFBFBF"/>
            <w:vAlign w:val="bottom"/>
            <w:hideMark/>
          </w:tcPr>
          <w:p w:rsidR="009A1FA5" w:rsidRPr="009A1FA5" w:rsidRDefault="009A1FA5" w:rsidP="009A1FA5">
            <w:pPr>
              <w:spacing w:after="0" w:line="240" w:lineRule="auto"/>
              <w:jc w:val="center"/>
              <w:rPr>
                <w:rFonts w:ascii="Calibri" w:eastAsia="Times New Roman" w:hAnsi="Calibri" w:cs="Calibri"/>
                <w:b/>
                <w:bCs/>
                <w:sz w:val="20"/>
                <w:szCs w:val="20"/>
                <w:lang w:eastAsia="es-ES"/>
              </w:rPr>
            </w:pPr>
            <w:r w:rsidRPr="009A1FA5">
              <w:rPr>
                <w:rFonts w:ascii="Calibri" w:eastAsia="Times New Roman" w:hAnsi="Calibri" w:cs="Calibri"/>
                <w:b/>
                <w:bCs/>
                <w:sz w:val="20"/>
                <w:szCs w:val="20"/>
                <w:lang w:eastAsia="es-ES"/>
              </w:rPr>
              <w:t>2016</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Ventas de activos corrientes, de las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Beneficios (+)/Pérdidas(-)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Ventas de activos no corrientes, de las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Beneficios (+)/Pérdidas(-)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Compras de activos corrientes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Compras de activos no corrientes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32.860,28</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Prestación de servicios, de la cual:</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Beneficios (+)/Pérdidas(-)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Recepción de servicios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55.810,89</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89.977,51</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Contratos de arrendamiento financiero, de los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Beneficios (+)/Pérdidas(-)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Transferencias de investigación y desarrollo, de las cuales: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Beneficios (+)/Pérdidas(-)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Ingresos por intereses cobrados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r w:rsidR="009A1FA5" w:rsidRPr="009A1FA5" w:rsidTr="009A1FA5">
        <w:trPr>
          <w:trHeight w:val="300"/>
        </w:trPr>
        <w:tc>
          <w:tcPr>
            <w:tcW w:w="6249"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Gastos por intereses pagados</w:t>
            </w:r>
          </w:p>
        </w:tc>
        <w:tc>
          <w:tcPr>
            <w:tcW w:w="1340"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211" w:type="dxa"/>
            <w:tcBorders>
              <w:top w:val="nil"/>
              <w:left w:val="nil"/>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r>
    </w:tbl>
    <w:p w:rsidR="00234FE5" w:rsidRDefault="00234FE5" w:rsidP="00362031">
      <w:pPr>
        <w:jc w:val="both"/>
      </w:pPr>
    </w:p>
    <w:p w:rsidR="00362031" w:rsidRDefault="00362031" w:rsidP="00362031">
      <w:pPr>
        <w:jc w:val="both"/>
      </w:pPr>
      <w:r w:rsidRPr="00362031">
        <w:t xml:space="preserve">El detalle de las transacciones con empresas asociadas a 31 de diciembre es el siguiente: </w:t>
      </w:r>
    </w:p>
    <w:p w:rsidR="00234FE5" w:rsidRDefault="00234FE5" w:rsidP="00362031">
      <w:pPr>
        <w:jc w:val="both"/>
      </w:pPr>
    </w:p>
    <w:tbl>
      <w:tblPr>
        <w:tblW w:w="7700" w:type="dxa"/>
        <w:tblInd w:w="58" w:type="dxa"/>
        <w:tblCellMar>
          <w:left w:w="70" w:type="dxa"/>
          <w:right w:w="70" w:type="dxa"/>
        </w:tblCellMar>
        <w:tblLook w:val="04A0"/>
      </w:tblPr>
      <w:tblGrid>
        <w:gridCol w:w="1800"/>
        <w:gridCol w:w="2860"/>
        <w:gridCol w:w="1420"/>
        <w:gridCol w:w="1620"/>
      </w:tblGrid>
      <w:tr w:rsidR="009A1FA5" w:rsidRPr="009A1FA5" w:rsidTr="009A1FA5">
        <w:trPr>
          <w:trHeight w:val="300"/>
        </w:trPr>
        <w:tc>
          <w:tcPr>
            <w:tcW w:w="1800" w:type="dxa"/>
            <w:tcBorders>
              <w:top w:val="single" w:sz="4" w:space="0" w:color="auto"/>
              <w:left w:val="single" w:sz="4" w:space="0" w:color="auto"/>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2860" w:type="dxa"/>
            <w:tcBorders>
              <w:top w:val="single" w:sz="4" w:space="0" w:color="auto"/>
              <w:left w:val="nil"/>
              <w:bottom w:val="nil"/>
              <w:right w:val="nil"/>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1FA5" w:rsidRPr="009A1FA5" w:rsidRDefault="009A1FA5" w:rsidP="009A1FA5">
            <w:pPr>
              <w:spacing w:after="0" w:line="240" w:lineRule="auto"/>
              <w:jc w:val="center"/>
              <w:rPr>
                <w:rFonts w:ascii="Calibri" w:eastAsia="Times New Roman" w:hAnsi="Calibri" w:cs="Calibri"/>
                <w:b/>
                <w:bCs/>
                <w:color w:val="000000"/>
                <w:sz w:val="20"/>
                <w:szCs w:val="20"/>
                <w:lang w:eastAsia="es-ES"/>
              </w:rPr>
            </w:pPr>
            <w:r w:rsidRPr="009A1FA5">
              <w:rPr>
                <w:rFonts w:ascii="Calibri" w:eastAsia="Times New Roman" w:hAnsi="Calibri" w:cs="Calibri"/>
                <w:b/>
                <w:bCs/>
                <w:color w:val="000000"/>
                <w:sz w:val="20"/>
                <w:szCs w:val="20"/>
                <w:lang w:eastAsia="es-ES"/>
              </w:rPr>
              <w:t>2017</w:t>
            </w:r>
          </w:p>
        </w:tc>
        <w:tc>
          <w:tcPr>
            <w:tcW w:w="1620" w:type="dxa"/>
            <w:tcBorders>
              <w:top w:val="single" w:sz="4" w:space="0" w:color="auto"/>
              <w:left w:val="nil"/>
              <w:bottom w:val="single" w:sz="4" w:space="0" w:color="auto"/>
              <w:right w:val="single" w:sz="4" w:space="0" w:color="auto"/>
            </w:tcBorders>
            <w:shd w:val="clear" w:color="000000" w:fill="BFBFBF"/>
            <w:noWrap/>
            <w:vAlign w:val="bottom"/>
            <w:hideMark/>
          </w:tcPr>
          <w:p w:rsidR="009A1FA5" w:rsidRPr="009A1FA5" w:rsidRDefault="009A1FA5" w:rsidP="009A1FA5">
            <w:pPr>
              <w:spacing w:after="0" w:line="240" w:lineRule="auto"/>
              <w:jc w:val="center"/>
              <w:rPr>
                <w:rFonts w:ascii="Calibri" w:eastAsia="Times New Roman" w:hAnsi="Calibri" w:cs="Calibri"/>
                <w:b/>
                <w:bCs/>
                <w:color w:val="000000"/>
                <w:sz w:val="20"/>
                <w:szCs w:val="20"/>
                <w:lang w:eastAsia="es-ES"/>
              </w:rPr>
            </w:pPr>
            <w:r w:rsidRPr="009A1FA5">
              <w:rPr>
                <w:rFonts w:ascii="Calibri" w:eastAsia="Times New Roman" w:hAnsi="Calibri" w:cs="Calibri"/>
                <w:b/>
                <w:bCs/>
                <w:color w:val="000000"/>
                <w:sz w:val="20"/>
                <w:szCs w:val="20"/>
                <w:lang w:eastAsia="es-ES"/>
              </w:rPr>
              <w:t>2016</w:t>
            </w:r>
          </w:p>
        </w:tc>
      </w:tr>
      <w:tr w:rsidR="009A1FA5" w:rsidRPr="009A1FA5" w:rsidTr="009A1FA5">
        <w:trPr>
          <w:trHeight w:val="360"/>
        </w:trPr>
        <w:tc>
          <w:tcPr>
            <w:tcW w:w="1800" w:type="dxa"/>
            <w:tcBorders>
              <w:top w:val="nil"/>
              <w:left w:val="single" w:sz="4" w:space="0" w:color="auto"/>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Empresa ITER</w:t>
            </w:r>
          </w:p>
        </w:tc>
        <w:tc>
          <w:tcPr>
            <w:tcW w:w="2860" w:type="dxa"/>
            <w:tcBorders>
              <w:top w:val="nil"/>
              <w:left w:val="nil"/>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xml:space="preserve">Crédito ITER </w:t>
            </w:r>
            <w:proofErr w:type="spellStart"/>
            <w:r w:rsidRPr="009A1FA5">
              <w:rPr>
                <w:rFonts w:ascii="Calibri" w:eastAsia="Times New Roman" w:hAnsi="Calibri" w:cs="Calibri"/>
                <w:color w:val="000000"/>
                <w:sz w:val="20"/>
                <w:szCs w:val="20"/>
                <w:lang w:eastAsia="es-ES"/>
              </w:rPr>
              <w:t>Ef.Impositivo</w:t>
            </w:r>
            <w:proofErr w:type="spellEnd"/>
            <w:r w:rsidRPr="009A1FA5">
              <w:rPr>
                <w:rFonts w:ascii="Calibri" w:eastAsia="Times New Roman" w:hAnsi="Calibri" w:cs="Calibri"/>
                <w:color w:val="000000"/>
                <w:sz w:val="20"/>
                <w:szCs w:val="20"/>
                <w:lang w:eastAsia="es-ES"/>
              </w:rPr>
              <w:t xml:space="preserve"> </w:t>
            </w:r>
          </w:p>
        </w:tc>
        <w:tc>
          <w:tcPr>
            <w:tcW w:w="1420" w:type="dxa"/>
            <w:tcBorders>
              <w:top w:val="nil"/>
              <w:left w:val="single" w:sz="4" w:space="0" w:color="auto"/>
              <w:bottom w:val="nil"/>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105.721,35 €</w:t>
            </w:r>
          </w:p>
        </w:tc>
        <w:tc>
          <w:tcPr>
            <w:tcW w:w="1620" w:type="dxa"/>
            <w:tcBorders>
              <w:top w:val="nil"/>
              <w:left w:val="nil"/>
              <w:bottom w:val="nil"/>
              <w:right w:val="single" w:sz="4" w:space="0" w:color="auto"/>
            </w:tcBorders>
            <w:shd w:val="clear" w:color="auto" w:fill="auto"/>
            <w:noWrap/>
            <w:vAlign w:val="bottom"/>
            <w:hideMark/>
          </w:tcPr>
          <w:p w:rsidR="009A1FA5" w:rsidRPr="009A1FA5" w:rsidRDefault="00306EBB" w:rsidP="009A1FA5">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8.724,16</w:t>
            </w:r>
          </w:p>
        </w:tc>
      </w:tr>
      <w:tr w:rsidR="009A1FA5" w:rsidRPr="009A1FA5" w:rsidTr="009A1FA5">
        <w:trPr>
          <w:trHeight w:val="360"/>
        </w:trPr>
        <w:tc>
          <w:tcPr>
            <w:tcW w:w="1800" w:type="dxa"/>
            <w:tcBorders>
              <w:top w:val="nil"/>
              <w:left w:val="single" w:sz="4" w:space="0" w:color="auto"/>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Empresa ITER</w:t>
            </w:r>
          </w:p>
        </w:tc>
        <w:tc>
          <w:tcPr>
            <w:tcW w:w="2860" w:type="dxa"/>
            <w:tcBorders>
              <w:top w:val="nil"/>
              <w:left w:val="nil"/>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Crédito Efecto impositivo</w:t>
            </w:r>
          </w:p>
        </w:tc>
        <w:tc>
          <w:tcPr>
            <w:tcW w:w="1420" w:type="dxa"/>
            <w:tcBorders>
              <w:top w:val="nil"/>
              <w:left w:val="single" w:sz="4" w:space="0" w:color="auto"/>
              <w:bottom w:val="nil"/>
              <w:right w:val="single" w:sz="4" w:space="0" w:color="auto"/>
            </w:tcBorders>
            <w:shd w:val="clear" w:color="auto" w:fill="auto"/>
            <w:noWrap/>
            <w:vAlign w:val="bottom"/>
            <w:hideMark/>
          </w:tcPr>
          <w:p w:rsidR="009A1FA5" w:rsidRPr="009A1FA5" w:rsidRDefault="009A1FA5" w:rsidP="009A1FA5">
            <w:pPr>
              <w:spacing w:after="0" w:line="240" w:lineRule="auto"/>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w:t>
            </w:r>
          </w:p>
        </w:tc>
        <w:tc>
          <w:tcPr>
            <w:tcW w:w="1620" w:type="dxa"/>
            <w:tcBorders>
              <w:top w:val="nil"/>
              <w:left w:val="nil"/>
              <w:bottom w:val="nil"/>
              <w:right w:val="single" w:sz="4" w:space="0" w:color="auto"/>
            </w:tcBorders>
            <w:shd w:val="clear" w:color="auto" w:fill="auto"/>
            <w:noWrap/>
            <w:vAlign w:val="bottom"/>
            <w:hideMark/>
          </w:tcPr>
          <w:p w:rsidR="009A1FA5" w:rsidRPr="009A1FA5" w:rsidRDefault="009A1FA5" w:rsidP="00306EBB">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xml:space="preserve">363,01 </w:t>
            </w:r>
          </w:p>
        </w:tc>
      </w:tr>
      <w:tr w:rsidR="009A1FA5" w:rsidRPr="009A1FA5" w:rsidTr="009A1FA5">
        <w:trPr>
          <w:trHeight w:val="360"/>
        </w:trPr>
        <w:tc>
          <w:tcPr>
            <w:tcW w:w="1800" w:type="dxa"/>
            <w:tcBorders>
              <w:top w:val="nil"/>
              <w:left w:val="single" w:sz="4" w:space="0" w:color="auto"/>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 xml:space="preserve">Empresa ITER </w:t>
            </w:r>
          </w:p>
        </w:tc>
        <w:tc>
          <w:tcPr>
            <w:tcW w:w="2860" w:type="dxa"/>
            <w:tcBorders>
              <w:top w:val="nil"/>
              <w:left w:val="nil"/>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Adelanto pagos Menores</w:t>
            </w:r>
          </w:p>
        </w:tc>
        <w:tc>
          <w:tcPr>
            <w:tcW w:w="1420" w:type="dxa"/>
            <w:tcBorders>
              <w:top w:val="nil"/>
              <w:left w:val="single" w:sz="4" w:space="0" w:color="auto"/>
              <w:bottom w:val="nil"/>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363,03</w:t>
            </w:r>
          </w:p>
        </w:tc>
        <w:tc>
          <w:tcPr>
            <w:tcW w:w="1620" w:type="dxa"/>
            <w:tcBorders>
              <w:top w:val="nil"/>
              <w:left w:val="nil"/>
              <w:bottom w:val="nil"/>
              <w:right w:val="single" w:sz="4" w:space="0" w:color="auto"/>
            </w:tcBorders>
            <w:shd w:val="clear" w:color="auto" w:fill="auto"/>
            <w:noWrap/>
            <w:vAlign w:val="bottom"/>
            <w:hideMark/>
          </w:tcPr>
          <w:p w:rsidR="009A1FA5" w:rsidRPr="009A1FA5" w:rsidRDefault="00306EBB" w:rsidP="009A1FA5">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105.916,15</w:t>
            </w:r>
          </w:p>
        </w:tc>
      </w:tr>
      <w:tr w:rsidR="009A1FA5" w:rsidRPr="009A1FA5" w:rsidTr="009A1FA5">
        <w:trPr>
          <w:trHeight w:val="360"/>
        </w:trPr>
        <w:tc>
          <w:tcPr>
            <w:tcW w:w="1800" w:type="dxa"/>
            <w:tcBorders>
              <w:top w:val="nil"/>
              <w:left w:val="single" w:sz="4" w:space="0" w:color="auto"/>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Empresa ITER</w:t>
            </w:r>
          </w:p>
        </w:tc>
        <w:tc>
          <w:tcPr>
            <w:tcW w:w="2860" w:type="dxa"/>
            <w:tcBorders>
              <w:top w:val="nil"/>
              <w:left w:val="nil"/>
              <w:bottom w:val="nil"/>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Deuda Efecto impositivo</w:t>
            </w:r>
          </w:p>
        </w:tc>
        <w:tc>
          <w:tcPr>
            <w:tcW w:w="1420" w:type="dxa"/>
            <w:tcBorders>
              <w:top w:val="nil"/>
              <w:left w:val="single" w:sz="4" w:space="0" w:color="auto"/>
              <w:bottom w:val="nil"/>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5.178,12 €</w:t>
            </w:r>
          </w:p>
        </w:tc>
        <w:tc>
          <w:tcPr>
            <w:tcW w:w="1620" w:type="dxa"/>
            <w:tcBorders>
              <w:top w:val="nil"/>
              <w:left w:val="nil"/>
              <w:bottom w:val="nil"/>
              <w:right w:val="single" w:sz="4" w:space="0" w:color="auto"/>
            </w:tcBorders>
            <w:shd w:val="clear" w:color="auto" w:fill="auto"/>
            <w:noWrap/>
            <w:vAlign w:val="bottom"/>
            <w:hideMark/>
          </w:tcPr>
          <w:p w:rsidR="009A1FA5" w:rsidRPr="009A1FA5" w:rsidRDefault="00306EBB" w:rsidP="009A1FA5">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4.573,91</w:t>
            </w:r>
          </w:p>
        </w:tc>
      </w:tr>
      <w:tr w:rsidR="009A1FA5" w:rsidRPr="009A1FA5" w:rsidTr="009A1FA5">
        <w:trPr>
          <w:trHeight w:val="360"/>
        </w:trPr>
        <w:tc>
          <w:tcPr>
            <w:tcW w:w="1800" w:type="dxa"/>
            <w:tcBorders>
              <w:top w:val="nil"/>
              <w:left w:val="single" w:sz="4" w:space="0" w:color="auto"/>
              <w:bottom w:val="single" w:sz="4" w:space="0" w:color="auto"/>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Empresa ITER</w:t>
            </w:r>
          </w:p>
        </w:tc>
        <w:tc>
          <w:tcPr>
            <w:tcW w:w="2860" w:type="dxa"/>
            <w:tcBorders>
              <w:top w:val="nil"/>
              <w:left w:val="nil"/>
              <w:bottom w:val="single" w:sz="4" w:space="0" w:color="auto"/>
              <w:right w:val="nil"/>
            </w:tcBorders>
            <w:shd w:val="clear" w:color="auto" w:fill="auto"/>
            <w:noWrap/>
            <w:vAlign w:val="bottom"/>
            <w:hideMark/>
          </w:tcPr>
          <w:p w:rsidR="009A1FA5" w:rsidRPr="009A1FA5" w:rsidRDefault="009A1FA5" w:rsidP="009A1FA5">
            <w:pPr>
              <w:spacing w:after="0" w:line="240" w:lineRule="auto"/>
              <w:jc w:val="both"/>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Acreedor por Servicios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A1FA5" w:rsidRPr="009A1FA5" w:rsidRDefault="009A1FA5" w:rsidP="009A1FA5">
            <w:pPr>
              <w:spacing w:after="0" w:line="240" w:lineRule="auto"/>
              <w:jc w:val="right"/>
              <w:rPr>
                <w:rFonts w:ascii="Calibri" w:eastAsia="Times New Roman" w:hAnsi="Calibri" w:cs="Calibri"/>
                <w:color w:val="000000"/>
                <w:sz w:val="20"/>
                <w:szCs w:val="20"/>
                <w:lang w:eastAsia="es-ES"/>
              </w:rPr>
            </w:pPr>
            <w:r w:rsidRPr="009A1FA5">
              <w:rPr>
                <w:rFonts w:ascii="Calibri" w:eastAsia="Times New Roman" w:hAnsi="Calibri" w:cs="Calibri"/>
                <w:color w:val="000000"/>
                <w:sz w:val="20"/>
                <w:szCs w:val="20"/>
                <w:lang w:eastAsia="es-ES"/>
              </w:rPr>
              <w:t>59.251,99 €</w:t>
            </w:r>
          </w:p>
        </w:tc>
        <w:tc>
          <w:tcPr>
            <w:tcW w:w="1620" w:type="dxa"/>
            <w:tcBorders>
              <w:top w:val="nil"/>
              <w:left w:val="nil"/>
              <w:bottom w:val="single" w:sz="4" w:space="0" w:color="auto"/>
              <w:right w:val="single" w:sz="4" w:space="0" w:color="auto"/>
            </w:tcBorders>
            <w:shd w:val="clear" w:color="auto" w:fill="auto"/>
            <w:noWrap/>
            <w:vAlign w:val="bottom"/>
            <w:hideMark/>
          </w:tcPr>
          <w:p w:rsidR="009A1FA5" w:rsidRPr="009A1FA5" w:rsidRDefault="00306EBB" w:rsidP="00306EBB">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131.150,42</w:t>
            </w:r>
          </w:p>
        </w:tc>
      </w:tr>
    </w:tbl>
    <w:p w:rsidR="00362031" w:rsidRPr="00362031" w:rsidRDefault="00362031" w:rsidP="00362031">
      <w:pPr>
        <w:ind w:firstLine="708"/>
        <w:jc w:val="both"/>
      </w:pPr>
    </w:p>
    <w:p w:rsidR="00007B11" w:rsidRDefault="00362031" w:rsidP="00362031">
      <w:pPr>
        <w:jc w:val="both"/>
      </w:pPr>
      <w:r w:rsidRPr="00362031">
        <w:t xml:space="preserve">Al cierre del ejercicio figura en la partida "Acreedores Comerciales y otras cuentas a pagar" la cantidad de </w:t>
      </w:r>
      <w:r w:rsidR="00EF042B">
        <w:t>59.251,99 €</w:t>
      </w:r>
      <w:r w:rsidRPr="00362031">
        <w:t xml:space="preserve"> pendientes de pago a ITER: </w:t>
      </w:r>
      <w:r w:rsidR="00D0697B" w:rsidRPr="00D0697B">
        <w:t>9.</w:t>
      </w:r>
      <w:r w:rsidR="00D0697B">
        <w:t>799,60</w:t>
      </w:r>
      <w:r w:rsidRPr="00362031">
        <w:t xml:space="preserve"> euros por los servicios administrativos, de contab</w:t>
      </w:r>
      <w:r w:rsidR="00D0697B">
        <w:t xml:space="preserve">ilidad y laboral contratados, y 49.452,39 euros </w:t>
      </w:r>
      <w:r w:rsidRPr="00362031">
        <w:t>correspondientes a ventas y prestaciones de servicios</w:t>
      </w:r>
      <w:r w:rsidR="00EF042B">
        <w:t xml:space="preserve"> a</w:t>
      </w:r>
      <w:r w:rsidR="00881777">
        <w:t xml:space="preserve"> proyectos. Así mismo figuran 363</w:t>
      </w:r>
      <w:r w:rsidR="00EF042B">
        <w:t>,03 €</w:t>
      </w:r>
      <w:r w:rsidRPr="00362031">
        <w:t xml:space="preserve"> en la cuenta 552 por el adelanto realizado por ITER para pagos menores. Finalmente, en esta nota se detallan los saldos derivados de las imputaciones de impuestos dentro de la consolidación fiscal del grupo.</w:t>
      </w:r>
    </w:p>
    <w:p w:rsidR="00234FE5" w:rsidRDefault="00234FE5" w:rsidP="00362031">
      <w:pPr>
        <w:jc w:val="both"/>
        <w:rPr>
          <w:b/>
        </w:rPr>
      </w:pPr>
    </w:p>
    <w:p w:rsidR="00362031" w:rsidRPr="00362031" w:rsidRDefault="00362031" w:rsidP="00362031">
      <w:pPr>
        <w:jc w:val="both"/>
        <w:rPr>
          <w:b/>
        </w:rPr>
      </w:pPr>
      <w:r w:rsidRPr="00362031">
        <w:rPr>
          <w:b/>
        </w:rPr>
        <w:lastRenderedPageBreak/>
        <w:t xml:space="preserve">Operación vinculada: Servicios administrativos y de gestión contratados a ITER SA </w:t>
      </w:r>
    </w:p>
    <w:p w:rsidR="00362031" w:rsidRPr="00362031" w:rsidRDefault="00362031" w:rsidP="00362031">
      <w:pPr>
        <w:jc w:val="both"/>
      </w:pPr>
      <w:r w:rsidRPr="00362031">
        <w:t>Los gastos originados por la gestión administrativa, contable, fiscal, laboral y gastos generales de oficina, se recogen en “Recepción de servicios” por un total de</w:t>
      </w:r>
      <w:r w:rsidR="00881777">
        <w:t xml:space="preserve"> 9.158,50 €.</w:t>
      </w:r>
      <w:r w:rsidRPr="00362031">
        <w:t xml:space="preserve"> </w:t>
      </w:r>
    </w:p>
    <w:p w:rsidR="00362031" w:rsidRPr="00362031" w:rsidRDefault="00362031" w:rsidP="00362031">
      <w:pPr>
        <w:jc w:val="both"/>
        <w:rPr>
          <w:b/>
        </w:rPr>
      </w:pPr>
      <w:r w:rsidRPr="00362031">
        <w:rPr>
          <w:b/>
        </w:rPr>
        <w:t xml:space="preserve">Operación vinculada: Servicios de colaboración en proyecto de Vigilancia Volcánica prestados por ITER SA </w:t>
      </w:r>
    </w:p>
    <w:p w:rsidR="00362031" w:rsidRPr="00362031" w:rsidRDefault="00362031" w:rsidP="00362031">
      <w:pPr>
        <w:jc w:val="both"/>
      </w:pPr>
      <w:r w:rsidRPr="00362031">
        <w:t>Los gastos correspondientes a la colaboración de ITER en el proyecto de Vigilancia Volcánica de Tenerife ascienden en el ejercicio 201</w:t>
      </w:r>
      <w:r>
        <w:t>7</w:t>
      </w:r>
      <w:r w:rsidRPr="00362031">
        <w:t xml:space="preserve"> a </w:t>
      </w:r>
      <w:r w:rsidR="00881777" w:rsidRPr="00881777">
        <w:t>42.</w:t>
      </w:r>
      <w:r w:rsidR="00881777">
        <w:t>702,67 €</w:t>
      </w:r>
      <w:r w:rsidRPr="00362031">
        <w:t xml:space="preserve"> incluidos en la partida de “Recepción de servicios”. </w:t>
      </w:r>
    </w:p>
    <w:p w:rsidR="00362031" w:rsidRPr="00362031" w:rsidRDefault="00362031" w:rsidP="00362031">
      <w:pPr>
        <w:jc w:val="both"/>
        <w:rPr>
          <w:b/>
        </w:rPr>
      </w:pPr>
      <w:r w:rsidRPr="00362031">
        <w:rPr>
          <w:b/>
        </w:rPr>
        <w:t xml:space="preserve">Operación vinculada: </w:t>
      </w:r>
      <w:r w:rsidR="00881777">
        <w:rPr>
          <w:b/>
        </w:rPr>
        <w:t>P</w:t>
      </w:r>
      <w:r w:rsidRPr="00362031">
        <w:rPr>
          <w:b/>
        </w:rPr>
        <w:t xml:space="preserve">restación de servicios en el desarrollo del proyecto </w:t>
      </w:r>
      <w:proofErr w:type="spellStart"/>
      <w:r w:rsidR="00881777">
        <w:rPr>
          <w:b/>
        </w:rPr>
        <w:t>Teleplaneta</w:t>
      </w:r>
      <w:proofErr w:type="spellEnd"/>
    </w:p>
    <w:p w:rsidR="00362031" w:rsidRPr="00362031" w:rsidRDefault="00362031" w:rsidP="00362031">
      <w:pPr>
        <w:jc w:val="both"/>
      </w:pPr>
      <w:r w:rsidRPr="00362031">
        <w:t xml:space="preserve">Los gastos correspondientes a la colaboración de ITER en el proyecto de Instalación de </w:t>
      </w:r>
      <w:proofErr w:type="spellStart"/>
      <w:r w:rsidR="00881777">
        <w:t>Teleplaneta</w:t>
      </w:r>
      <w:proofErr w:type="spellEnd"/>
      <w:r w:rsidR="00881777">
        <w:t xml:space="preserve"> </w:t>
      </w:r>
      <w:r w:rsidRPr="00362031">
        <w:t>ascienden a</w:t>
      </w:r>
      <w:r w:rsidR="00881777">
        <w:t xml:space="preserve"> 3.949,72 € </w:t>
      </w:r>
      <w:r w:rsidRPr="00362031">
        <w:t>en el ejercicio 201</w:t>
      </w:r>
      <w:r>
        <w:t>7</w:t>
      </w:r>
      <w:r w:rsidRPr="00362031">
        <w:t xml:space="preserve"> a € incluidos en la partida de “</w:t>
      </w:r>
      <w:r w:rsidR="00881777">
        <w:t>Recepción de Servicios”.</w:t>
      </w:r>
      <w:r w:rsidRPr="00362031">
        <w:t xml:space="preserve"> </w:t>
      </w:r>
    </w:p>
    <w:p w:rsidR="00362031" w:rsidRDefault="00362031" w:rsidP="00362031">
      <w:pPr>
        <w:jc w:val="both"/>
      </w:pPr>
      <w:r w:rsidRPr="00362031">
        <w:t xml:space="preserve">Estos precios son comparables con los pactados en mercado para operaciones de similar riesgo </w:t>
      </w:r>
    </w:p>
    <w:p w:rsidR="00362031" w:rsidRPr="00106A87" w:rsidRDefault="00362031" w:rsidP="00362031">
      <w:pPr>
        <w:jc w:val="both"/>
        <w:rPr>
          <w:sz w:val="12"/>
        </w:rPr>
      </w:pPr>
    </w:p>
    <w:p w:rsidR="00362031" w:rsidRDefault="00362031" w:rsidP="00362031">
      <w:pPr>
        <w:jc w:val="both"/>
        <w:rPr>
          <w:b/>
        </w:rPr>
      </w:pPr>
      <w:r w:rsidRPr="00362031">
        <w:rPr>
          <w:b/>
        </w:rPr>
        <w:t xml:space="preserve">TRANSACCIONES CON LOS MIEMBROS DEL CONSEJO DE ADMINISTRACIÓN. </w:t>
      </w:r>
    </w:p>
    <w:p w:rsidR="00362031" w:rsidRPr="00106A87" w:rsidRDefault="00362031" w:rsidP="00362031">
      <w:pPr>
        <w:jc w:val="both"/>
        <w:rPr>
          <w:b/>
          <w:sz w:val="8"/>
        </w:rPr>
      </w:pPr>
    </w:p>
    <w:p w:rsidR="00362031" w:rsidRPr="00362031" w:rsidRDefault="00362031" w:rsidP="00362031">
      <w:pPr>
        <w:jc w:val="both"/>
        <w:rPr>
          <w:u w:val="single"/>
        </w:rPr>
      </w:pPr>
      <w:r w:rsidRPr="00362031">
        <w:rPr>
          <w:u w:val="single"/>
        </w:rPr>
        <w:t xml:space="preserve">a) Retribución a los miembros del Consejo de Administración </w:t>
      </w:r>
    </w:p>
    <w:p w:rsidR="00362031" w:rsidRPr="00362031" w:rsidRDefault="00362031" w:rsidP="00362031">
      <w:pPr>
        <w:jc w:val="both"/>
      </w:pPr>
      <w:r w:rsidRPr="00362031">
        <w:t xml:space="preserve">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 </w:t>
      </w:r>
    </w:p>
    <w:p w:rsidR="00362031" w:rsidRPr="00362031" w:rsidRDefault="00362031" w:rsidP="00362031">
      <w:pPr>
        <w:jc w:val="both"/>
        <w:rPr>
          <w:u w:val="single"/>
        </w:rPr>
      </w:pPr>
      <w:r w:rsidRPr="00362031">
        <w:rPr>
          <w:u w:val="single"/>
        </w:rPr>
        <w:t xml:space="preserve">b) Retribución y préstamos a personal de alta dirección </w:t>
      </w:r>
    </w:p>
    <w:p w:rsidR="00007B11" w:rsidRDefault="00362031" w:rsidP="00362031">
      <w:pPr>
        <w:jc w:val="both"/>
      </w:pPr>
      <w:r w:rsidRPr="00362031">
        <w:t>La Sociedad durante el ejercicio 201</w:t>
      </w:r>
      <w:r w:rsidR="00306EBB">
        <w:t>7</w:t>
      </w:r>
      <w:r w:rsidRPr="00362031">
        <w:t xml:space="preserve"> no ha contado con personal de alta dirección, no devengándose cantidad alguna en concepto de retribuciones, indemnizaciones, pensiones, préstamos o cualquier otro concepto.</w:t>
      </w:r>
    </w:p>
    <w:p w:rsidR="00007B11" w:rsidRPr="007556A6" w:rsidRDefault="00007B11" w:rsidP="0074309A">
      <w:pPr>
        <w:jc w:val="both"/>
        <w:rPr>
          <w:sz w:val="14"/>
        </w:rPr>
      </w:pPr>
    </w:p>
    <w:p w:rsidR="00DD1DA8" w:rsidRPr="008A0E1E" w:rsidRDefault="00DD1DA8" w:rsidP="00536B73">
      <w:pPr>
        <w:pStyle w:val="Ttulo4"/>
      </w:pPr>
      <w:r w:rsidRPr="008A0E1E">
        <w:t>1</w:t>
      </w:r>
      <w:r w:rsidR="00747049" w:rsidRPr="008A0E1E">
        <w:t>0</w:t>
      </w:r>
      <w:r w:rsidRPr="008A0E1E">
        <w:t xml:space="preserve">. OTRA INFORMACIÓN </w:t>
      </w:r>
    </w:p>
    <w:p w:rsidR="00EF042B" w:rsidRDefault="00EF042B" w:rsidP="00EF042B">
      <w:pPr>
        <w:jc w:val="both"/>
      </w:pPr>
      <w:r w:rsidRPr="00536B73">
        <w:t xml:space="preserve">El </w:t>
      </w:r>
      <w:r w:rsidRPr="00142B14">
        <w:t>número medio de personas</w:t>
      </w:r>
      <w:r w:rsidRPr="00536B73">
        <w:t xml:space="preserve"> empleadas en el curso del ejercicio es el siguiente:</w:t>
      </w:r>
    </w:p>
    <w:p w:rsidR="00234FE5" w:rsidRDefault="00234FE5" w:rsidP="00EF042B">
      <w:pPr>
        <w:jc w:val="both"/>
      </w:pPr>
    </w:p>
    <w:p w:rsidR="00B309DA" w:rsidRPr="00A73249" w:rsidRDefault="00B309DA" w:rsidP="00EF042B">
      <w:pPr>
        <w:jc w:val="both"/>
        <w:rPr>
          <w:sz w:val="12"/>
        </w:rPr>
      </w:pPr>
    </w:p>
    <w:tbl>
      <w:tblPr>
        <w:tblW w:w="5680" w:type="dxa"/>
        <w:tblInd w:w="660" w:type="dxa"/>
        <w:tblCellMar>
          <w:left w:w="70" w:type="dxa"/>
          <w:right w:w="70" w:type="dxa"/>
        </w:tblCellMar>
        <w:tblLook w:val="04A0"/>
      </w:tblPr>
      <w:tblGrid>
        <w:gridCol w:w="3400"/>
        <w:gridCol w:w="1160"/>
        <w:gridCol w:w="1120"/>
      </w:tblGrid>
      <w:tr w:rsidR="00B309DA" w:rsidRPr="00B309DA" w:rsidTr="00B309DA">
        <w:trPr>
          <w:trHeight w:val="300"/>
        </w:trPr>
        <w:tc>
          <w:tcPr>
            <w:tcW w:w="3400" w:type="dxa"/>
            <w:tcBorders>
              <w:top w:val="nil"/>
              <w:left w:val="nil"/>
              <w:bottom w:val="nil"/>
              <w:right w:val="nil"/>
            </w:tcBorders>
            <w:shd w:val="clear" w:color="auto" w:fill="auto"/>
            <w:noWrap/>
            <w:vAlign w:val="bottom"/>
            <w:hideMark/>
          </w:tcPr>
          <w:p w:rsidR="00B309DA" w:rsidRPr="00B309DA" w:rsidRDefault="00B309DA" w:rsidP="00B309DA">
            <w:pPr>
              <w:spacing w:after="0" w:line="240" w:lineRule="auto"/>
              <w:rPr>
                <w:rFonts w:ascii="Times New Roman" w:eastAsia="Times New Roman" w:hAnsi="Times New Roman" w:cs="Times New Roman"/>
                <w:sz w:val="24"/>
                <w:szCs w:val="24"/>
                <w:lang w:eastAsia="es-ES"/>
              </w:rPr>
            </w:pPr>
          </w:p>
        </w:tc>
        <w:tc>
          <w:tcPr>
            <w:tcW w:w="11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20"/>
                <w:szCs w:val="20"/>
                <w:lang w:eastAsia="es-ES"/>
              </w:rPr>
            </w:pPr>
            <w:r w:rsidRPr="00B309DA">
              <w:rPr>
                <w:rFonts w:ascii="Calibri" w:eastAsia="Times New Roman" w:hAnsi="Calibri" w:cs="Times New Roman"/>
                <w:color w:val="000000"/>
                <w:sz w:val="20"/>
                <w:szCs w:val="20"/>
                <w:lang w:eastAsia="es-ES"/>
              </w:rPr>
              <w:t>2.017</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20"/>
                <w:szCs w:val="20"/>
                <w:lang w:eastAsia="es-ES"/>
              </w:rPr>
            </w:pPr>
            <w:r w:rsidRPr="00B309DA">
              <w:rPr>
                <w:rFonts w:ascii="Calibri" w:eastAsia="Times New Roman" w:hAnsi="Calibri" w:cs="Times New Roman"/>
                <w:color w:val="000000"/>
                <w:sz w:val="20"/>
                <w:szCs w:val="20"/>
                <w:lang w:eastAsia="es-ES"/>
              </w:rPr>
              <w:t>2.016</w:t>
            </w:r>
          </w:p>
        </w:tc>
      </w:tr>
      <w:tr w:rsidR="00B309DA" w:rsidRPr="00B309DA" w:rsidTr="00B309DA">
        <w:trPr>
          <w:trHeight w:val="51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20"/>
                <w:szCs w:val="20"/>
                <w:lang w:eastAsia="es-ES"/>
              </w:rPr>
            </w:pPr>
            <w:r w:rsidRPr="00B309DA">
              <w:rPr>
                <w:rFonts w:ascii="Calibri" w:eastAsia="Times New Roman" w:hAnsi="Calibri" w:cs="Times New Roman"/>
                <w:color w:val="000000"/>
                <w:sz w:val="20"/>
                <w:szCs w:val="20"/>
                <w:lang w:eastAsia="es-ES"/>
              </w:rPr>
              <w:t>Total Personal medio del ejercicio</w:t>
            </w:r>
          </w:p>
        </w:tc>
        <w:tc>
          <w:tcPr>
            <w:tcW w:w="1160" w:type="dxa"/>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20"/>
                <w:szCs w:val="20"/>
                <w:lang w:eastAsia="es-ES"/>
              </w:rPr>
            </w:pPr>
            <w:r w:rsidRPr="00B309DA">
              <w:rPr>
                <w:rFonts w:ascii="Calibri" w:eastAsia="Times New Roman" w:hAnsi="Calibri" w:cs="Times New Roman"/>
                <w:color w:val="000000"/>
                <w:sz w:val="20"/>
                <w:szCs w:val="20"/>
                <w:lang w:eastAsia="es-ES"/>
              </w:rPr>
              <w:t>4,76</w:t>
            </w:r>
          </w:p>
        </w:tc>
        <w:tc>
          <w:tcPr>
            <w:tcW w:w="1120" w:type="dxa"/>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20"/>
                <w:szCs w:val="20"/>
                <w:lang w:eastAsia="es-ES"/>
              </w:rPr>
            </w:pPr>
            <w:r w:rsidRPr="00B309DA">
              <w:rPr>
                <w:rFonts w:ascii="Calibri" w:eastAsia="Times New Roman" w:hAnsi="Calibri" w:cs="Times New Roman"/>
                <w:color w:val="000000"/>
                <w:sz w:val="20"/>
                <w:szCs w:val="20"/>
                <w:lang w:eastAsia="es-ES"/>
              </w:rPr>
              <w:t>3,00</w:t>
            </w:r>
          </w:p>
        </w:tc>
      </w:tr>
    </w:tbl>
    <w:p w:rsidR="00EF042B" w:rsidRDefault="00EF042B" w:rsidP="00EF042B"/>
    <w:p w:rsidR="00B309DA" w:rsidRDefault="00B309DA" w:rsidP="00B309DA">
      <w:pPr>
        <w:jc w:val="both"/>
      </w:pPr>
      <w:r>
        <w:t>El</w:t>
      </w:r>
      <w:r w:rsidRPr="00822E21">
        <w:t xml:space="preserve"> personal del ejercicio se </w:t>
      </w:r>
      <w:r w:rsidR="002D04F0" w:rsidRPr="00822E21">
        <w:t>distribuye</w:t>
      </w:r>
      <w:r w:rsidRPr="00536B73">
        <w:t xml:space="preserve"> por sexo, en las siguientes categorías:</w:t>
      </w:r>
    </w:p>
    <w:p w:rsidR="002D04F0" w:rsidRPr="00A73249" w:rsidRDefault="002D04F0" w:rsidP="00B309DA">
      <w:pPr>
        <w:jc w:val="both"/>
        <w:rPr>
          <w:sz w:val="14"/>
        </w:rPr>
      </w:pPr>
    </w:p>
    <w:tbl>
      <w:tblPr>
        <w:tblW w:w="7934" w:type="dxa"/>
        <w:tblInd w:w="75" w:type="dxa"/>
        <w:tblCellMar>
          <w:left w:w="70" w:type="dxa"/>
          <w:right w:w="70" w:type="dxa"/>
        </w:tblCellMar>
        <w:tblLook w:val="04A0"/>
      </w:tblPr>
      <w:tblGrid>
        <w:gridCol w:w="2972"/>
        <w:gridCol w:w="851"/>
        <w:gridCol w:w="309"/>
        <w:gridCol w:w="399"/>
        <w:gridCol w:w="851"/>
        <w:gridCol w:w="130"/>
        <w:gridCol w:w="30"/>
        <w:gridCol w:w="850"/>
        <w:gridCol w:w="94"/>
        <w:gridCol w:w="597"/>
        <w:gridCol w:w="561"/>
        <w:gridCol w:w="290"/>
      </w:tblGrid>
      <w:tr w:rsidR="00B309DA" w:rsidRPr="00B309DA" w:rsidTr="00B309DA">
        <w:trPr>
          <w:trHeight w:val="360"/>
        </w:trPr>
        <w:tc>
          <w:tcPr>
            <w:tcW w:w="2972" w:type="dxa"/>
            <w:tcBorders>
              <w:top w:val="nil"/>
              <w:left w:val="nil"/>
              <w:bottom w:val="nil"/>
              <w:right w:val="nil"/>
            </w:tcBorders>
            <w:shd w:val="clear" w:color="auto" w:fill="auto"/>
            <w:noWrap/>
            <w:vAlign w:val="bottom"/>
            <w:hideMark/>
          </w:tcPr>
          <w:p w:rsidR="00B309DA" w:rsidRPr="00B309DA" w:rsidRDefault="00B309DA" w:rsidP="00B309DA">
            <w:pPr>
              <w:spacing w:after="0" w:line="240" w:lineRule="auto"/>
              <w:rPr>
                <w:rFonts w:ascii="Times New Roman" w:eastAsia="Times New Roman" w:hAnsi="Times New Roman" w:cs="Times New Roman"/>
                <w:sz w:val="18"/>
                <w:szCs w:val="18"/>
                <w:lang w:eastAsia="es-ES"/>
              </w:rPr>
            </w:pPr>
          </w:p>
        </w:tc>
        <w:tc>
          <w:tcPr>
            <w:tcW w:w="1160" w:type="dxa"/>
            <w:gridSpan w:val="2"/>
            <w:tcBorders>
              <w:top w:val="single" w:sz="8" w:space="0" w:color="auto"/>
              <w:left w:val="single" w:sz="8" w:space="0" w:color="auto"/>
              <w:bottom w:val="nil"/>
              <w:right w:val="nil"/>
            </w:tcBorders>
            <w:shd w:val="clear" w:color="auto" w:fill="auto"/>
            <w:noWrap/>
            <w:vAlign w:val="bottom"/>
            <w:hideMark/>
          </w:tcPr>
          <w:p w:rsidR="00B309DA" w:rsidRPr="00B309DA" w:rsidRDefault="00B309DA" w:rsidP="00B309DA">
            <w:pPr>
              <w:spacing w:after="0" w:line="240" w:lineRule="auto"/>
              <w:ind w:right="98"/>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1250" w:type="dxa"/>
            <w:gridSpan w:val="2"/>
            <w:tcBorders>
              <w:top w:val="single" w:sz="8" w:space="0" w:color="auto"/>
              <w:left w:val="nil"/>
              <w:bottom w:val="nil"/>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2.017</w:t>
            </w:r>
          </w:p>
        </w:tc>
        <w:tc>
          <w:tcPr>
            <w:tcW w:w="160" w:type="dxa"/>
            <w:gridSpan w:val="2"/>
            <w:tcBorders>
              <w:top w:val="single" w:sz="8" w:space="0" w:color="auto"/>
              <w:left w:val="nil"/>
              <w:bottom w:val="nil"/>
              <w:right w:val="single" w:sz="8" w:space="0" w:color="auto"/>
            </w:tcBorders>
            <w:shd w:val="clear" w:color="auto" w:fill="auto"/>
            <w:noWrap/>
            <w:vAlign w:val="bottom"/>
            <w:hideMark/>
          </w:tcPr>
          <w:p w:rsidR="00B309DA" w:rsidRPr="00B309DA" w:rsidRDefault="00B309DA" w:rsidP="00B309DA">
            <w:pPr>
              <w:spacing w:after="0" w:line="240" w:lineRule="auto"/>
              <w:ind w:left="-365" w:hanging="365"/>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944" w:type="dxa"/>
            <w:gridSpan w:val="2"/>
            <w:tcBorders>
              <w:top w:val="single" w:sz="8" w:space="0" w:color="auto"/>
              <w:left w:val="nil"/>
              <w:bottom w:val="nil"/>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1158" w:type="dxa"/>
            <w:gridSpan w:val="2"/>
            <w:tcBorders>
              <w:top w:val="single" w:sz="8" w:space="0" w:color="auto"/>
              <w:left w:val="nil"/>
              <w:bottom w:val="nil"/>
              <w:right w:val="nil"/>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2.016</w:t>
            </w:r>
          </w:p>
        </w:tc>
        <w:tc>
          <w:tcPr>
            <w:tcW w:w="290" w:type="dxa"/>
            <w:tcBorders>
              <w:top w:val="single" w:sz="8" w:space="0" w:color="auto"/>
              <w:left w:val="nil"/>
              <w:bottom w:val="nil"/>
              <w:right w:val="single" w:sz="8" w:space="0" w:color="auto"/>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r>
      <w:tr w:rsidR="00B309DA" w:rsidRPr="00B309DA" w:rsidTr="00B309DA">
        <w:trPr>
          <w:trHeight w:val="360"/>
        </w:trPr>
        <w:tc>
          <w:tcPr>
            <w:tcW w:w="2972" w:type="dxa"/>
            <w:tcBorders>
              <w:top w:val="single" w:sz="4" w:space="0" w:color="auto"/>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98"/>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Total</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160"/>
              <w:jc w:val="center"/>
              <w:rPr>
                <w:rFonts w:ascii="Calibri" w:eastAsia="Times New Roman" w:hAnsi="Calibri" w:cs="Times New Roman"/>
                <w:color w:val="000000"/>
                <w:sz w:val="18"/>
                <w:szCs w:val="18"/>
                <w:lang w:eastAsia="es-ES"/>
              </w:rPr>
            </w:pPr>
            <w:proofErr w:type="spellStart"/>
            <w:r w:rsidRPr="00B309DA">
              <w:rPr>
                <w:rFonts w:ascii="Calibri" w:eastAsia="Times New Roman" w:hAnsi="Calibri" w:cs="Times New Roman"/>
                <w:color w:val="000000"/>
                <w:sz w:val="18"/>
                <w:szCs w:val="18"/>
                <w:lang w:eastAsia="es-ES"/>
              </w:rPr>
              <w:t>Fem</w:t>
            </w:r>
            <w:proofErr w:type="spellEnd"/>
            <w:r w:rsidRPr="00B309DA">
              <w:rPr>
                <w:rFonts w:ascii="Calibri" w:eastAsia="Times New Roman" w:hAnsi="Calibri" w:cs="Times New Roman"/>
                <w:color w:val="000000"/>
                <w:sz w:val="18"/>
                <w:szCs w:val="18"/>
                <w:lang w:eastAsia="es-ES"/>
              </w:rPr>
              <w:t>.</w:t>
            </w:r>
          </w:p>
        </w:tc>
        <w:tc>
          <w:tcPr>
            <w:tcW w:w="981" w:type="dxa"/>
            <w:gridSpan w:val="2"/>
            <w:tcBorders>
              <w:top w:val="single" w:sz="4" w:space="0" w:color="auto"/>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proofErr w:type="spellStart"/>
            <w:r w:rsidRPr="00B309DA">
              <w:rPr>
                <w:rFonts w:ascii="Calibri" w:eastAsia="Times New Roman" w:hAnsi="Calibri" w:cs="Times New Roman"/>
                <w:color w:val="000000"/>
                <w:sz w:val="18"/>
                <w:szCs w:val="18"/>
                <w:lang w:eastAsia="es-ES"/>
              </w:rPr>
              <w:t>Masc</w:t>
            </w:r>
            <w:proofErr w:type="spellEnd"/>
            <w:r w:rsidRPr="00B309DA">
              <w:rPr>
                <w:rFonts w:ascii="Calibri" w:eastAsia="Times New Roman" w:hAnsi="Calibri" w:cs="Times New Roman"/>
                <w:color w:val="000000"/>
                <w:sz w:val="18"/>
                <w:szCs w:val="18"/>
                <w:lang w:eastAsia="es-ES"/>
              </w:rPr>
              <w:t>.</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Total</w:t>
            </w:r>
          </w:p>
        </w:tc>
        <w:tc>
          <w:tcPr>
            <w:tcW w:w="6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proofErr w:type="spellStart"/>
            <w:r w:rsidRPr="00B309DA">
              <w:rPr>
                <w:rFonts w:ascii="Calibri" w:eastAsia="Times New Roman" w:hAnsi="Calibri" w:cs="Times New Roman"/>
                <w:color w:val="000000"/>
                <w:sz w:val="18"/>
                <w:szCs w:val="18"/>
                <w:lang w:eastAsia="es-ES"/>
              </w:rPr>
              <w:t>Fem</w:t>
            </w:r>
            <w:proofErr w:type="spellEnd"/>
            <w:r w:rsidRPr="00B309DA">
              <w:rPr>
                <w:rFonts w:ascii="Calibri" w:eastAsia="Times New Roman" w:hAnsi="Calibri" w:cs="Times New Roman"/>
                <w:color w:val="000000"/>
                <w:sz w:val="18"/>
                <w:szCs w:val="18"/>
                <w:lang w:eastAsia="es-ES"/>
              </w:rPr>
              <w:t>.</w:t>
            </w:r>
          </w:p>
        </w:tc>
        <w:tc>
          <w:tcPr>
            <w:tcW w:w="851" w:type="dxa"/>
            <w:gridSpan w:val="2"/>
            <w:tcBorders>
              <w:top w:val="single" w:sz="4" w:space="0" w:color="auto"/>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proofErr w:type="spellStart"/>
            <w:r w:rsidRPr="00B309DA">
              <w:rPr>
                <w:rFonts w:ascii="Calibri" w:eastAsia="Times New Roman" w:hAnsi="Calibri" w:cs="Times New Roman"/>
                <w:color w:val="000000"/>
                <w:sz w:val="18"/>
                <w:szCs w:val="18"/>
                <w:lang w:eastAsia="es-ES"/>
              </w:rPr>
              <w:t>Masc</w:t>
            </w:r>
            <w:proofErr w:type="spellEnd"/>
            <w:r w:rsidRPr="00B309DA">
              <w:rPr>
                <w:rFonts w:ascii="Calibri" w:eastAsia="Times New Roman" w:hAnsi="Calibri" w:cs="Times New Roman"/>
                <w:color w:val="000000"/>
                <w:sz w:val="18"/>
                <w:szCs w:val="18"/>
                <w:lang w:eastAsia="es-ES"/>
              </w:rPr>
              <w:t>.</w:t>
            </w:r>
          </w:p>
        </w:tc>
      </w:tr>
      <w:tr w:rsidR="00B309DA" w:rsidRPr="00B309DA" w:rsidTr="00B309DA">
        <w:trPr>
          <w:trHeight w:val="360"/>
        </w:trPr>
        <w:tc>
          <w:tcPr>
            <w:tcW w:w="2972" w:type="dxa"/>
            <w:tcBorders>
              <w:top w:val="nil"/>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Consejeros</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309DA" w:rsidRPr="00B309DA" w:rsidRDefault="00DD08CE" w:rsidP="00DD08CE">
            <w:pPr>
              <w:spacing w:after="0" w:line="240" w:lineRule="auto"/>
              <w:ind w:right="98"/>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160"/>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98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w:t>
            </w:r>
          </w:p>
        </w:tc>
      </w:tr>
      <w:tr w:rsidR="00B309DA" w:rsidRPr="00B309DA" w:rsidTr="00B309DA">
        <w:trPr>
          <w:trHeight w:val="360"/>
        </w:trPr>
        <w:tc>
          <w:tcPr>
            <w:tcW w:w="2972" w:type="dxa"/>
            <w:tcBorders>
              <w:top w:val="nil"/>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Altos Directivos</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98"/>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160"/>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98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r>
      <w:tr w:rsidR="00B309DA" w:rsidRPr="00B309DA" w:rsidTr="00B309DA">
        <w:trPr>
          <w:trHeight w:val="360"/>
        </w:trPr>
        <w:tc>
          <w:tcPr>
            <w:tcW w:w="2972" w:type="dxa"/>
            <w:tcBorders>
              <w:top w:val="nil"/>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Resto Personal de Dirección</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98"/>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160"/>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98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r>
      <w:tr w:rsidR="00B309DA" w:rsidRPr="00B309DA" w:rsidTr="00B309DA">
        <w:trPr>
          <w:trHeight w:val="360"/>
        </w:trPr>
        <w:tc>
          <w:tcPr>
            <w:tcW w:w="2972" w:type="dxa"/>
            <w:tcBorders>
              <w:top w:val="nil"/>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Técnicos y Profesionales Científicos</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309DA" w:rsidRPr="00B309DA" w:rsidRDefault="00DD08CE" w:rsidP="00DD08CE">
            <w:pPr>
              <w:spacing w:after="0" w:line="240" w:lineRule="auto"/>
              <w:ind w:right="98"/>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DD08CE" w:rsidP="00DD08CE">
            <w:pPr>
              <w:spacing w:after="0" w:line="240" w:lineRule="auto"/>
              <w:ind w:right="16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5</w:t>
            </w:r>
          </w:p>
        </w:tc>
        <w:tc>
          <w:tcPr>
            <w:tcW w:w="98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DD08CE" w:rsidP="00B309DA">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3</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w:t>
            </w:r>
          </w:p>
        </w:tc>
      </w:tr>
      <w:tr w:rsidR="00B309DA" w:rsidRPr="00B309DA" w:rsidTr="00B309DA">
        <w:trPr>
          <w:trHeight w:val="360"/>
        </w:trPr>
        <w:tc>
          <w:tcPr>
            <w:tcW w:w="2972" w:type="dxa"/>
            <w:tcBorders>
              <w:top w:val="nil"/>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Empleados Tipo Administrativo</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98"/>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160"/>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98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r>
      <w:tr w:rsidR="00B309DA" w:rsidRPr="00B309DA" w:rsidTr="00B309DA">
        <w:trPr>
          <w:trHeight w:val="360"/>
        </w:trPr>
        <w:tc>
          <w:tcPr>
            <w:tcW w:w="2972" w:type="dxa"/>
            <w:tcBorders>
              <w:top w:val="nil"/>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Resto de Personal Cualificado</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98"/>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ind w:right="160"/>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98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309DA" w:rsidRPr="00B309DA" w:rsidRDefault="00B309DA" w:rsidP="00B309DA">
            <w:pPr>
              <w:spacing w:after="0" w:line="240" w:lineRule="auto"/>
              <w:jc w:val="center"/>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 </w:t>
            </w:r>
          </w:p>
        </w:tc>
      </w:tr>
      <w:tr w:rsidR="00B309DA" w:rsidRPr="00B309DA" w:rsidTr="00B309DA">
        <w:trPr>
          <w:trHeight w:val="360"/>
        </w:trPr>
        <w:tc>
          <w:tcPr>
            <w:tcW w:w="2972" w:type="dxa"/>
            <w:tcBorders>
              <w:top w:val="nil"/>
              <w:left w:val="single" w:sz="4" w:space="0" w:color="auto"/>
              <w:bottom w:val="single" w:sz="4" w:space="0" w:color="auto"/>
              <w:right w:val="nil"/>
            </w:tcBorders>
            <w:shd w:val="clear" w:color="auto" w:fill="auto"/>
            <w:noWrap/>
            <w:vAlign w:val="bottom"/>
            <w:hideMark/>
          </w:tcPr>
          <w:p w:rsidR="00B309DA" w:rsidRPr="00B309DA" w:rsidRDefault="00B309DA" w:rsidP="00B309DA">
            <w:pPr>
              <w:spacing w:after="0" w:line="240" w:lineRule="auto"/>
              <w:rPr>
                <w:rFonts w:ascii="Calibri" w:eastAsia="Times New Roman" w:hAnsi="Calibri" w:cs="Times New Roman"/>
                <w:color w:val="000000"/>
                <w:sz w:val="18"/>
                <w:szCs w:val="18"/>
                <w:lang w:eastAsia="es-ES"/>
              </w:rPr>
            </w:pPr>
            <w:r w:rsidRPr="00B309DA">
              <w:rPr>
                <w:rFonts w:ascii="Calibri" w:eastAsia="Times New Roman" w:hAnsi="Calibri" w:cs="Times New Roman"/>
                <w:color w:val="000000"/>
                <w:sz w:val="18"/>
                <w:szCs w:val="18"/>
                <w:lang w:eastAsia="es-ES"/>
              </w:rPr>
              <w:t>Total Personal al término del ejercicio</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B309DA" w:rsidRPr="00B309DA" w:rsidRDefault="00DD08CE" w:rsidP="00DD08CE">
            <w:pPr>
              <w:spacing w:after="0" w:line="240" w:lineRule="auto"/>
              <w:ind w:right="98"/>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11</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B309DA" w:rsidRPr="00B309DA" w:rsidRDefault="00DD08CE" w:rsidP="00DD08CE">
            <w:pPr>
              <w:spacing w:after="0" w:line="240" w:lineRule="auto"/>
              <w:ind w:right="16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5</w:t>
            </w:r>
          </w:p>
        </w:tc>
        <w:tc>
          <w:tcPr>
            <w:tcW w:w="981" w:type="dxa"/>
            <w:gridSpan w:val="2"/>
            <w:tcBorders>
              <w:top w:val="nil"/>
              <w:left w:val="nil"/>
              <w:bottom w:val="single" w:sz="8" w:space="0" w:color="auto"/>
              <w:right w:val="single" w:sz="8"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6</w:t>
            </w:r>
          </w:p>
        </w:tc>
        <w:tc>
          <w:tcPr>
            <w:tcW w:w="880" w:type="dxa"/>
            <w:gridSpan w:val="2"/>
            <w:tcBorders>
              <w:top w:val="nil"/>
              <w:left w:val="nil"/>
              <w:bottom w:val="single" w:sz="8" w:space="0" w:color="auto"/>
              <w:right w:val="single" w:sz="4"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6</w:t>
            </w:r>
          </w:p>
        </w:tc>
        <w:tc>
          <w:tcPr>
            <w:tcW w:w="691" w:type="dxa"/>
            <w:gridSpan w:val="2"/>
            <w:tcBorders>
              <w:top w:val="nil"/>
              <w:left w:val="nil"/>
              <w:bottom w:val="single" w:sz="8" w:space="0" w:color="auto"/>
              <w:right w:val="single" w:sz="4"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B309DA" w:rsidRPr="00B309DA" w:rsidRDefault="00DD08CE" w:rsidP="00DD08CE">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4</w:t>
            </w:r>
          </w:p>
        </w:tc>
      </w:tr>
    </w:tbl>
    <w:p w:rsidR="00B309DA" w:rsidRDefault="00B309DA" w:rsidP="00B309DA">
      <w:pPr>
        <w:jc w:val="both"/>
      </w:pPr>
    </w:p>
    <w:p w:rsidR="002D04F0" w:rsidRDefault="002D04F0" w:rsidP="002D04F0">
      <w:pPr>
        <w:jc w:val="both"/>
      </w:pPr>
      <w:r w:rsidRPr="00822E21">
        <w:t>No hay personal</w:t>
      </w:r>
      <w:r w:rsidRPr="00536B73">
        <w:t xml:space="preserve"> empleado con discapacidad mayor o igual al 33%. </w:t>
      </w:r>
    </w:p>
    <w:p w:rsidR="00DD1DA8" w:rsidRPr="00C14A82" w:rsidRDefault="00DD1DA8" w:rsidP="00536B73">
      <w:pPr>
        <w:jc w:val="both"/>
        <w:rPr>
          <w:b/>
          <w:u w:val="single"/>
        </w:rPr>
      </w:pPr>
      <w:r w:rsidRPr="00C14A82">
        <w:rPr>
          <w:b/>
          <w:u w:val="single"/>
        </w:rPr>
        <w:t xml:space="preserve">Subvenciones </w:t>
      </w:r>
    </w:p>
    <w:p w:rsidR="001E5679" w:rsidRPr="002D04F0" w:rsidRDefault="002D04F0" w:rsidP="002D04F0">
      <w:r w:rsidRPr="002D04F0">
        <w:t>A continuación se detallan las subvenciones, donaciones y legados que aparecen en el balance, así como los importes imputados en la cuenta de pérdidas y ganancias:</w:t>
      </w:r>
    </w:p>
    <w:tbl>
      <w:tblPr>
        <w:tblpPr w:leftFromText="141" w:rightFromText="141" w:vertAnchor="text" w:horzAnchor="margin" w:tblpXSpec="center" w:tblpY="331"/>
        <w:tblW w:w="6485" w:type="dxa"/>
        <w:tblCellMar>
          <w:left w:w="70" w:type="dxa"/>
          <w:right w:w="70" w:type="dxa"/>
        </w:tblCellMar>
        <w:tblLook w:val="04A0"/>
      </w:tblPr>
      <w:tblGrid>
        <w:gridCol w:w="4465"/>
        <w:gridCol w:w="2020"/>
      </w:tblGrid>
      <w:tr w:rsidR="006849F7" w:rsidRPr="006849F7" w:rsidTr="006849F7">
        <w:trPr>
          <w:trHeight w:val="570"/>
        </w:trPr>
        <w:tc>
          <w:tcPr>
            <w:tcW w:w="446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849F7" w:rsidRPr="006849F7" w:rsidRDefault="006849F7" w:rsidP="006849F7">
            <w:pPr>
              <w:spacing w:after="0" w:line="240" w:lineRule="auto"/>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SUBVENCIONES EXPLOTACION 2017</w:t>
            </w:r>
          </w:p>
        </w:tc>
        <w:tc>
          <w:tcPr>
            <w:tcW w:w="2020" w:type="dxa"/>
            <w:tcBorders>
              <w:top w:val="single" w:sz="8" w:space="0" w:color="auto"/>
              <w:left w:val="nil"/>
              <w:bottom w:val="single" w:sz="8" w:space="0" w:color="auto"/>
              <w:right w:val="single" w:sz="8" w:space="0" w:color="auto"/>
            </w:tcBorders>
            <w:shd w:val="clear" w:color="000000" w:fill="BFBFBF"/>
            <w:vAlign w:val="center"/>
            <w:hideMark/>
          </w:tcPr>
          <w:p w:rsidR="006849F7" w:rsidRPr="006849F7" w:rsidRDefault="006849F7" w:rsidP="006849F7">
            <w:pPr>
              <w:spacing w:after="0" w:line="240" w:lineRule="auto"/>
              <w:jc w:val="right"/>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517.660,68</w:t>
            </w:r>
          </w:p>
        </w:tc>
      </w:tr>
      <w:tr w:rsidR="006849F7" w:rsidRPr="006849F7" w:rsidTr="006849F7">
        <w:trPr>
          <w:trHeight w:val="270"/>
        </w:trPr>
        <w:tc>
          <w:tcPr>
            <w:tcW w:w="4465" w:type="dxa"/>
            <w:tcBorders>
              <w:top w:val="single" w:sz="8" w:space="0" w:color="auto"/>
              <w:left w:val="single" w:sz="8" w:space="0" w:color="auto"/>
              <w:bottom w:val="single" w:sz="8" w:space="0" w:color="auto"/>
              <w:right w:val="single" w:sz="8" w:space="0" w:color="auto"/>
            </w:tcBorders>
            <w:shd w:val="clear" w:color="000000" w:fill="BFBFBF"/>
            <w:vAlign w:val="bottom"/>
            <w:hideMark/>
          </w:tcPr>
          <w:p w:rsidR="006849F7" w:rsidRPr="006849F7" w:rsidRDefault="006849F7" w:rsidP="006849F7">
            <w:pPr>
              <w:spacing w:after="0" w:line="240" w:lineRule="auto"/>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De La Unión Europea</w:t>
            </w:r>
          </w:p>
        </w:tc>
        <w:tc>
          <w:tcPr>
            <w:tcW w:w="2020" w:type="dxa"/>
            <w:tcBorders>
              <w:top w:val="single" w:sz="8" w:space="0" w:color="auto"/>
              <w:left w:val="nil"/>
              <w:bottom w:val="single" w:sz="8" w:space="0" w:color="auto"/>
              <w:right w:val="single" w:sz="8" w:space="0" w:color="auto"/>
            </w:tcBorders>
            <w:shd w:val="clear" w:color="000000" w:fill="BFBFBF"/>
            <w:vAlign w:val="bottom"/>
            <w:hideMark/>
          </w:tcPr>
          <w:p w:rsidR="006849F7" w:rsidRPr="006849F7" w:rsidRDefault="006849F7" w:rsidP="006849F7">
            <w:pPr>
              <w:spacing w:after="0" w:line="240" w:lineRule="auto"/>
              <w:jc w:val="right"/>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24.778,04</w:t>
            </w:r>
          </w:p>
        </w:tc>
      </w:tr>
      <w:tr w:rsidR="006849F7" w:rsidRPr="006849F7" w:rsidTr="006849F7">
        <w:trPr>
          <w:trHeight w:val="150"/>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xml:space="preserve">Programa MAC - </w:t>
            </w:r>
            <w:proofErr w:type="spellStart"/>
            <w:r w:rsidRPr="006849F7">
              <w:rPr>
                <w:rFonts w:ascii="Calibri" w:eastAsia="Times New Roman" w:hAnsi="Calibri" w:cs="Arial"/>
                <w:sz w:val="20"/>
                <w:szCs w:val="20"/>
                <w:lang w:eastAsia="es-ES"/>
              </w:rPr>
              <w:t>Volriskmac</w:t>
            </w:r>
            <w:proofErr w:type="spellEnd"/>
          </w:p>
        </w:tc>
        <w:tc>
          <w:tcPr>
            <w:tcW w:w="2020" w:type="dxa"/>
            <w:tcBorders>
              <w:top w:val="nil"/>
              <w:left w:val="nil"/>
              <w:bottom w:val="nil"/>
              <w:right w:val="single" w:sz="8" w:space="0" w:color="auto"/>
            </w:tcBorders>
            <w:shd w:val="clear" w:color="auto" w:fill="auto"/>
            <w:noWrap/>
            <w:vAlign w:val="bottom"/>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24.778,04</w:t>
            </w:r>
          </w:p>
        </w:tc>
      </w:tr>
      <w:tr w:rsidR="006849F7" w:rsidRPr="006849F7" w:rsidTr="006849F7">
        <w:trPr>
          <w:trHeight w:val="7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c>
          <w:tcPr>
            <w:tcW w:w="2020" w:type="dxa"/>
            <w:tcBorders>
              <w:top w:val="nil"/>
              <w:left w:val="nil"/>
              <w:bottom w:val="single" w:sz="8" w:space="0" w:color="auto"/>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r>
      <w:tr w:rsidR="006849F7" w:rsidRPr="006849F7" w:rsidTr="006849F7">
        <w:trPr>
          <w:trHeight w:val="270"/>
        </w:trPr>
        <w:tc>
          <w:tcPr>
            <w:tcW w:w="4465" w:type="dxa"/>
            <w:tcBorders>
              <w:top w:val="single" w:sz="8" w:space="0" w:color="auto"/>
              <w:left w:val="single" w:sz="8" w:space="0" w:color="auto"/>
              <w:bottom w:val="single" w:sz="8" w:space="0" w:color="auto"/>
              <w:right w:val="nil"/>
            </w:tcBorders>
            <w:shd w:val="clear" w:color="000000" w:fill="BFBFBF"/>
            <w:noWrap/>
            <w:vAlign w:val="center"/>
            <w:hideMark/>
          </w:tcPr>
          <w:p w:rsidR="006849F7" w:rsidRPr="006849F7" w:rsidRDefault="006849F7" w:rsidP="006849F7">
            <w:pPr>
              <w:spacing w:after="0" w:line="240" w:lineRule="auto"/>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Del Estado</w:t>
            </w:r>
          </w:p>
        </w:tc>
        <w:tc>
          <w:tcPr>
            <w:tcW w:w="2020" w:type="dxa"/>
            <w:tcBorders>
              <w:top w:val="nil"/>
              <w:left w:val="nil"/>
              <w:bottom w:val="single" w:sz="8" w:space="0" w:color="auto"/>
              <w:right w:val="single" w:sz="8" w:space="0" w:color="auto"/>
            </w:tcBorders>
            <w:shd w:val="clear" w:color="000000" w:fill="BFBFBF"/>
            <w:vAlign w:val="bottom"/>
            <w:hideMark/>
          </w:tcPr>
          <w:p w:rsidR="006849F7" w:rsidRPr="006849F7" w:rsidRDefault="006849F7" w:rsidP="006849F7">
            <w:pPr>
              <w:spacing w:after="0" w:line="240" w:lineRule="auto"/>
              <w:jc w:val="right"/>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20.493,82</w:t>
            </w:r>
          </w:p>
        </w:tc>
      </w:tr>
      <w:tr w:rsidR="006849F7" w:rsidRPr="006849F7" w:rsidTr="006849F7">
        <w:trPr>
          <w:trHeight w:val="120"/>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proofErr w:type="spellStart"/>
            <w:r w:rsidRPr="006849F7">
              <w:rPr>
                <w:rFonts w:ascii="Calibri" w:eastAsia="Times New Roman" w:hAnsi="Calibri" w:cs="Arial"/>
                <w:sz w:val="20"/>
                <w:szCs w:val="20"/>
                <w:lang w:eastAsia="es-ES"/>
              </w:rPr>
              <w:t>Fecyt</w:t>
            </w:r>
            <w:proofErr w:type="spellEnd"/>
            <w:r w:rsidRPr="006849F7">
              <w:rPr>
                <w:rFonts w:ascii="Calibri" w:eastAsia="Times New Roman" w:hAnsi="Calibri" w:cs="Arial"/>
                <w:sz w:val="20"/>
                <w:szCs w:val="20"/>
                <w:lang w:eastAsia="es-ES"/>
              </w:rPr>
              <w:t xml:space="preserve"> - </w:t>
            </w:r>
            <w:proofErr w:type="spellStart"/>
            <w:r w:rsidRPr="006849F7">
              <w:rPr>
                <w:rFonts w:ascii="Calibri" w:eastAsia="Times New Roman" w:hAnsi="Calibri" w:cs="Arial"/>
                <w:sz w:val="20"/>
                <w:szCs w:val="20"/>
                <w:lang w:eastAsia="es-ES"/>
              </w:rPr>
              <w:t>Teleplaneta</w:t>
            </w:r>
            <w:proofErr w:type="spellEnd"/>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20.500,00</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Diferencia en Torres Quevedo 2016</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-6,18</w:t>
            </w:r>
          </w:p>
        </w:tc>
      </w:tr>
      <w:tr w:rsidR="006849F7" w:rsidRPr="006849F7" w:rsidTr="006849F7">
        <w:trPr>
          <w:trHeight w:val="13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r>
      <w:tr w:rsidR="006849F7" w:rsidRPr="006849F7" w:rsidTr="006849F7">
        <w:trPr>
          <w:trHeight w:val="270"/>
        </w:trPr>
        <w:tc>
          <w:tcPr>
            <w:tcW w:w="4465" w:type="dxa"/>
            <w:tcBorders>
              <w:top w:val="single" w:sz="8" w:space="0" w:color="auto"/>
              <w:left w:val="single" w:sz="8" w:space="0" w:color="auto"/>
              <w:bottom w:val="single" w:sz="8" w:space="0" w:color="auto"/>
              <w:right w:val="nil"/>
            </w:tcBorders>
            <w:shd w:val="clear" w:color="000000" w:fill="BFBFBF"/>
            <w:noWrap/>
            <w:vAlign w:val="center"/>
            <w:hideMark/>
          </w:tcPr>
          <w:p w:rsidR="006849F7" w:rsidRPr="006849F7" w:rsidRDefault="006849F7" w:rsidP="006849F7">
            <w:pPr>
              <w:spacing w:after="0" w:line="240" w:lineRule="auto"/>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Del Cabildo Insular de Tenerife</w:t>
            </w:r>
          </w:p>
        </w:tc>
        <w:tc>
          <w:tcPr>
            <w:tcW w:w="2020" w:type="dxa"/>
            <w:tcBorders>
              <w:top w:val="single" w:sz="8" w:space="0" w:color="auto"/>
              <w:left w:val="nil"/>
              <w:bottom w:val="single" w:sz="8" w:space="0" w:color="auto"/>
              <w:right w:val="single" w:sz="8" w:space="0" w:color="auto"/>
            </w:tcBorders>
            <w:shd w:val="clear" w:color="000000" w:fill="BFBFBF"/>
            <w:vAlign w:val="bottom"/>
            <w:hideMark/>
          </w:tcPr>
          <w:p w:rsidR="006849F7" w:rsidRPr="006849F7" w:rsidRDefault="006849F7" w:rsidP="006849F7">
            <w:pPr>
              <w:spacing w:after="0" w:line="240" w:lineRule="auto"/>
              <w:jc w:val="right"/>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374.420,53</w:t>
            </w:r>
          </w:p>
        </w:tc>
      </w:tr>
      <w:tr w:rsidR="006849F7" w:rsidRPr="006849F7" w:rsidTr="006849F7">
        <w:trPr>
          <w:trHeight w:val="10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bottom"/>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xml:space="preserve">Tenerife </w:t>
            </w:r>
            <w:proofErr w:type="spellStart"/>
            <w:r w:rsidRPr="006849F7">
              <w:rPr>
                <w:rFonts w:ascii="Calibri" w:eastAsia="Times New Roman" w:hAnsi="Calibri" w:cs="Arial"/>
                <w:sz w:val="20"/>
                <w:szCs w:val="20"/>
                <w:lang w:eastAsia="es-ES"/>
              </w:rPr>
              <w:t>Volcano</w:t>
            </w:r>
            <w:proofErr w:type="spellEnd"/>
            <w:r w:rsidRPr="006849F7">
              <w:rPr>
                <w:rFonts w:ascii="Calibri" w:eastAsia="Times New Roman" w:hAnsi="Calibri" w:cs="Arial"/>
                <w:sz w:val="20"/>
                <w:szCs w:val="20"/>
                <w:lang w:eastAsia="es-ES"/>
              </w:rPr>
              <w:t xml:space="preserve"> </w:t>
            </w:r>
            <w:proofErr w:type="spellStart"/>
            <w:r w:rsidRPr="006849F7">
              <w:rPr>
                <w:rFonts w:ascii="Calibri" w:eastAsia="Times New Roman" w:hAnsi="Calibri" w:cs="Arial"/>
                <w:sz w:val="20"/>
                <w:szCs w:val="20"/>
                <w:lang w:eastAsia="es-ES"/>
              </w:rPr>
              <w:t>Assistance</w:t>
            </w:r>
            <w:proofErr w:type="spellEnd"/>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60.000,00</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xml:space="preserve">Tenerife </w:t>
            </w:r>
            <w:proofErr w:type="spellStart"/>
            <w:r w:rsidRPr="006849F7">
              <w:rPr>
                <w:rFonts w:ascii="Calibri" w:eastAsia="Times New Roman" w:hAnsi="Calibri" w:cs="Arial"/>
                <w:sz w:val="20"/>
                <w:szCs w:val="20"/>
                <w:lang w:eastAsia="es-ES"/>
              </w:rPr>
              <w:t>Volcano</w:t>
            </w:r>
            <w:proofErr w:type="spellEnd"/>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245.000,00</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xml:space="preserve">Tenerife </w:t>
            </w:r>
            <w:proofErr w:type="spellStart"/>
            <w:r w:rsidRPr="006849F7">
              <w:rPr>
                <w:rFonts w:ascii="Calibri" w:eastAsia="Times New Roman" w:hAnsi="Calibri" w:cs="Arial"/>
                <w:sz w:val="20"/>
                <w:szCs w:val="20"/>
                <w:lang w:eastAsia="es-ES"/>
              </w:rPr>
              <w:t>Resiliencia</w:t>
            </w:r>
            <w:proofErr w:type="spellEnd"/>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35.000,00</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bottom"/>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Tenerife Geotermia</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18.420,53</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bottom"/>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Tenerife Feria</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16.000,00</w:t>
            </w:r>
          </w:p>
        </w:tc>
      </w:tr>
      <w:tr w:rsidR="006849F7" w:rsidRPr="006849F7" w:rsidTr="006849F7">
        <w:trPr>
          <w:trHeight w:val="66"/>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r>
      <w:tr w:rsidR="006849F7" w:rsidRPr="006849F7" w:rsidTr="006849F7">
        <w:trPr>
          <w:trHeight w:val="270"/>
        </w:trPr>
        <w:tc>
          <w:tcPr>
            <w:tcW w:w="4465" w:type="dxa"/>
            <w:tcBorders>
              <w:top w:val="single" w:sz="8" w:space="0" w:color="auto"/>
              <w:left w:val="single" w:sz="8" w:space="0" w:color="auto"/>
              <w:bottom w:val="single" w:sz="8" w:space="0" w:color="auto"/>
              <w:right w:val="nil"/>
            </w:tcBorders>
            <w:shd w:val="clear" w:color="000000" w:fill="BFBFBF"/>
            <w:noWrap/>
            <w:vAlign w:val="center"/>
            <w:hideMark/>
          </w:tcPr>
          <w:p w:rsidR="006849F7" w:rsidRPr="006849F7" w:rsidRDefault="006849F7" w:rsidP="006849F7">
            <w:pPr>
              <w:spacing w:after="0" w:line="240" w:lineRule="auto"/>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De otras Entidades</w:t>
            </w:r>
          </w:p>
        </w:tc>
        <w:tc>
          <w:tcPr>
            <w:tcW w:w="2020" w:type="dxa"/>
            <w:tcBorders>
              <w:top w:val="single" w:sz="8" w:space="0" w:color="auto"/>
              <w:left w:val="nil"/>
              <w:bottom w:val="single" w:sz="8" w:space="0" w:color="auto"/>
              <w:right w:val="single" w:sz="8" w:space="0" w:color="auto"/>
            </w:tcBorders>
            <w:shd w:val="clear" w:color="000000" w:fill="BFBFBF"/>
            <w:vAlign w:val="bottom"/>
            <w:hideMark/>
          </w:tcPr>
          <w:p w:rsidR="006849F7" w:rsidRPr="006849F7" w:rsidRDefault="006849F7" w:rsidP="006849F7">
            <w:pPr>
              <w:spacing w:after="0" w:line="240" w:lineRule="auto"/>
              <w:jc w:val="right"/>
              <w:rPr>
                <w:rFonts w:ascii="Calibri" w:eastAsia="Times New Roman" w:hAnsi="Calibri" w:cs="Arial"/>
                <w:b/>
                <w:bCs/>
                <w:sz w:val="20"/>
                <w:szCs w:val="20"/>
                <w:lang w:eastAsia="es-ES"/>
              </w:rPr>
            </w:pPr>
            <w:r w:rsidRPr="006849F7">
              <w:rPr>
                <w:rFonts w:ascii="Calibri" w:eastAsia="Times New Roman" w:hAnsi="Calibri" w:cs="Arial"/>
                <w:b/>
                <w:bCs/>
                <w:sz w:val="20"/>
                <w:szCs w:val="20"/>
                <w:lang w:eastAsia="es-ES"/>
              </w:rPr>
              <w:t>97.968,29</w:t>
            </w:r>
          </w:p>
        </w:tc>
      </w:tr>
      <w:tr w:rsidR="006849F7" w:rsidRPr="006849F7" w:rsidTr="006849F7">
        <w:trPr>
          <w:trHeight w:val="90"/>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 </w:t>
            </w:r>
          </w:p>
        </w:tc>
      </w:tr>
      <w:tr w:rsidR="006849F7" w:rsidRPr="006849F7" w:rsidTr="006849F7">
        <w:trPr>
          <w:trHeight w:val="255"/>
        </w:trPr>
        <w:tc>
          <w:tcPr>
            <w:tcW w:w="4465" w:type="dxa"/>
            <w:tcBorders>
              <w:top w:val="nil"/>
              <w:left w:val="single" w:sz="8" w:space="0" w:color="auto"/>
              <w:bottom w:val="nil"/>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sz w:val="20"/>
                <w:szCs w:val="20"/>
                <w:lang w:eastAsia="es-ES"/>
              </w:rPr>
            </w:pPr>
            <w:r w:rsidRPr="006849F7">
              <w:rPr>
                <w:rFonts w:ascii="Calibri" w:eastAsia="Times New Roman" w:hAnsi="Calibri" w:cs="Arial"/>
                <w:sz w:val="20"/>
                <w:szCs w:val="20"/>
                <w:lang w:eastAsia="es-ES"/>
              </w:rPr>
              <w:t>Consejo Insular de la Energía de Gran Canaria</w:t>
            </w:r>
          </w:p>
        </w:tc>
        <w:tc>
          <w:tcPr>
            <w:tcW w:w="2020" w:type="dxa"/>
            <w:tcBorders>
              <w:top w:val="nil"/>
              <w:left w:val="nil"/>
              <w:bottom w:val="nil"/>
              <w:right w:val="single" w:sz="8" w:space="0" w:color="auto"/>
            </w:tcBorders>
            <w:shd w:val="clear" w:color="auto" w:fill="auto"/>
            <w:noWrap/>
            <w:vAlign w:val="center"/>
            <w:hideMark/>
          </w:tcPr>
          <w:p w:rsidR="006849F7" w:rsidRPr="006849F7" w:rsidRDefault="006849F7" w:rsidP="006849F7">
            <w:pPr>
              <w:spacing w:after="0" w:line="240" w:lineRule="auto"/>
              <w:jc w:val="right"/>
              <w:rPr>
                <w:rFonts w:ascii="Calibri" w:eastAsia="Times New Roman" w:hAnsi="Calibri" w:cs="Arial"/>
                <w:sz w:val="20"/>
                <w:szCs w:val="20"/>
                <w:lang w:eastAsia="es-ES"/>
              </w:rPr>
            </w:pPr>
            <w:r w:rsidRPr="006849F7">
              <w:rPr>
                <w:rFonts w:ascii="Calibri" w:eastAsia="Times New Roman" w:hAnsi="Calibri" w:cs="Arial"/>
                <w:sz w:val="20"/>
                <w:szCs w:val="20"/>
                <w:lang w:eastAsia="es-ES"/>
              </w:rPr>
              <w:t>97.968,29</w:t>
            </w:r>
          </w:p>
        </w:tc>
      </w:tr>
      <w:tr w:rsidR="006849F7" w:rsidRPr="006849F7" w:rsidTr="006849F7">
        <w:trPr>
          <w:trHeight w:val="75"/>
        </w:trPr>
        <w:tc>
          <w:tcPr>
            <w:tcW w:w="4465" w:type="dxa"/>
            <w:tcBorders>
              <w:top w:val="nil"/>
              <w:left w:val="single" w:sz="8" w:space="0" w:color="auto"/>
              <w:bottom w:val="single" w:sz="8" w:space="0" w:color="auto"/>
              <w:right w:val="nil"/>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lang w:eastAsia="es-ES"/>
              </w:rPr>
            </w:pPr>
            <w:r w:rsidRPr="006849F7">
              <w:rPr>
                <w:rFonts w:ascii="Calibri" w:eastAsia="Times New Roman" w:hAnsi="Calibri" w:cs="Arial"/>
                <w:lang w:eastAsia="es-ES"/>
              </w:rPr>
              <w:t> </w:t>
            </w:r>
          </w:p>
        </w:tc>
        <w:tc>
          <w:tcPr>
            <w:tcW w:w="2020" w:type="dxa"/>
            <w:tcBorders>
              <w:top w:val="nil"/>
              <w:left w:val="nil"/>
              <w:bottom w:val="single" w:sz="8" w:space="0" w:color="auto"/>
              <w:right w:val="single" w:sz="8" w:space="0" w:color="auto"/>
            </w:tcBorders>
            <w:shd w:val="clear" w:color="auto" w:fill="auto"/>
            <w:noWrap/>
            <w:vAlign w:val="center"/>
            <w:hideMark/>
          </w:tcPr>
          <w:p w:rsidR="006849F7" w:rsidRPr="006849F7" w:rsidRDefault="006849F7" w:rsidP="006849F7">
            <w:pPr>
              <w:spacing w:after="0" w:line="240" w:lineRule="auto"/>
              <w:rPr>
                <w:rFonts w:ascii="Calibri" w:eastAsia="Times New Roman" w:hAnsi="Calibri" w:cs="Arial"/>
                <w:lang w:eastAsia="es-ES"/>
              </w:rPr>
            </w:pPr>
            <w:r w:rsidRPr="006849F7">
              <w:rPr>
                <w:rFonts w:ascii="Calibri" w:eastAsia="Times New Roman" w:hAnsi="Calibri" w:cs="Arial"/>
                <w:lang w:eastAsia="es-ES"/>
              </w:rPr>
              <w:t> </w:t>
            </w:r>
          </w:p>
        </w:tc>
      </w:tr>
    </w:tbl>
    <w:p w:rsidR="006849F7" w:rsidRDefault="006849F7" w:rsidP="00536B73">
      <w:pPr>
        <w:jc w:val="both"/>
      </w:pPr>
    </w:p>
    <w:p w:rsidR="006849F7" w:rsidRDefault="006849F7" w:rsidP="00536B73">
      <w:pPr>
        <w:jc w:val="both"/>
      </w:pPr>
    </w:p>
    <w:p w:rsidR="006849F7" w:rsidRDefault="006849F7" w:rsidP="00536B73">
      <w:pPr>
        <w:jc w:val="both"/>
      </w:pPr>
    </w:p>
    <w:p w:rsidR="006849F7" w:rsidRDefault="006849F7" w:rsidP="00536B73">
      <w:pPr>
        <w:jc w:val="both"/>
      </w:pPr>
    </w:p>
    <w:p w:rsidR="006849F7" w:rsidRDefault="006849F7" w:rsidP="00536B73">
      <w:pPr>
        <w:jc w:val="both"/>
      </w:pPr>
    </w:p>
    <w:p w:rsidR="006849F7" w:rsidRDefault="006849F7" w:rsidP="00536B73">
      <w:pPr>
        <w:jc w:val="both"/>
      </w:pPr>
    </w:p>
    <w:p w:rsidR="006849F7" w:rsidRDefault="006849F7" w:rsidP="00536B73">
      <w:pPr>
        <w:jc w:val="both"/>
      </w:pPr>
    </w:p>
    <w:p w:rsidR="006849F7" w:rsidRDefault="006849F7" w:rsidP="00536B73">
      <w:pPr>
        <w:jc w:val="both"/>
      </w:pPr>
    </w:p>
    <w:p w:rsidR="00234FE5" w:rsidRDefault="00234FE5" w:rsidP="00232CCE">
      <w:pPr>
        <w:jc w:val="both"/>
        <w:rPr>
          <w:u w:val="single"/>
        </w:rPr>
      </w:pPr>
    </w:p>
    <w:p w:rsidR="00234FE5" w:rsidRDefault="00234FE5" w:rsidP="00232CCE">
      <w:pPr>
        <w:jc w:val="both"/>
        <w:rPr>
          <w:u w:val="single"/>
        </w:rPr>
      </w:pPr>
    </w:p>
    <w:p w:rsidR="00234FE5" w:rsidRDefault="00234FE5" w:rsidP="00232CCE">
      <w:pPr>
        <w:jc w:val="both"/>
        <w:rPr>
          <w:u w:val="single"/>
        </w:rPr>
      </w:pPr>
    </w:p>
    <w:p w:rsidR="00234FE5" w:rsidRDefault="00234FE5" w:rsidP="00232CCE">
      <w:pPr>
        <w:jc w:val="both"/>
        <w:rPr>
          <w:u w:val="single"/>
        </w:rPr>
      </w:pPr>
    </w:p>
    <w:p w:rsidR="00234FE5" w:rsidRDefault="00234FE5" w:rsidP="00232CCE">
      <w:pPr>
        <w:jc w:val="both"/>
        <w:rPr>
          <w:u w:val="single"/>
        </w:rPr>
      </w:pPr>
    </w:p>
    <w:p w:rsidR="00234FE5" w:rsidRDefault="00234FE5" w:rsidP="00232CCE">
      <w:pPr>
        <w:jc w:val="both"/>
        <w:rPr>
          <w:u w:val="single"/>
        </w:rPr>
      </w:pPr>
    </w:p>
    <w:p w:rsidR="00234FE5" w:rsidRDefault="00234FE5" w:rsidP="00232CCE">
      <w:pPr>
        <w:jc w:val="both"/>
        <w:rPr>
          <w:u w:val="single"/>
        </w:rPr>
      </w:pPr>
    </w:p>
    <w:p w:rsidR="00234FE5" w:rsidRPr="00234FE5" w:rsidRDefault="00234FE5" w:rsidP="00232CCE">
      <w:pPr>
        <w:jc w:val="both"/>
        <w:rPr>
          <w:sz w:val="14"/>
          <w:u w:val="single"/>
        </w:rPr>
      </w:pPr>
    </w:p>
    <w:p w:rsidR="00232CCE" w:rsidRPr="00232CCE" w:rsidRDefault="00232CCE" w:rsidP="00232CCE">
      <w:pPr>
        <w:jc w:val="both"/>
        <w:rPr>
          <w:u w:val="single"/>
        </w:rPr>
      </w:pPr>
      <w:r w:rsidRPr="00232CCE">
        <w:rPr>
          <w:u w:val="single"/>
        </w:rPr>
        <w:t xml:space="preserve">Subvenciones de capital </w:t>
      </w:r>
    </w:p>
    <w:p w:rsidR="00AA4BAA" w:rsidRDefault="00232CCE" w:rsidP="00106A87">
      <w:pPr>
        <w:jc w:val="both"/>
      </w:pPr>
      <w:r w:rsidRPr="00232CCE">
        <w:t>A continuación se detallan las subvenciones de capital que aparecen en el balance, así como los importes imputados en la cuenta de pérdidas y ganancias:</w:t>
      </w:r>
    </w:p>
    <w:p w:rsidR="00234FE5" w:rsidRDefault="00234FE5" w:rsidP="00106A87">
      <w:pPr>
        <w:jc w:val="both"/>
        <w:rPr>
          <w:sz w:val="16"/>
          <w:szCs w:val="16"/>
        </w:rPr>
      </w:pPr>
    </w:p>
    <w:tbl>
      <w:tblPr>
        <w:tblW w:w="9129" w:type="dxa"/>
        <w:tblInd w:w="80" w:type="dxa"/>
        <w:tblCellMar>
          <w:left w:w="70" w:type="dxa"/>
          <w:right w:w="70" w:type="dxa"/>
        </w:tblCellMar>
        <w:tblLook w:val="04A0"/>
      </w:tblPr>
      <w:tblGrid>
        <w:gridCol w:w="3109"/>
        <w:gridCol w:w="1134"/>
        <w:gridCol w:w="1004"/>
        <w:gridCol w:w="1131"/>
        <w:gridCol w:w="874"/>
        <w:gridCol w:w="873"/>
        <w:gridCol w:w="1004"/>
      </w:tblGrid>
      <w:tr w:rsidR="00AA4BAA" w:rsidRPr="00AA4BAA" w:rsidTr="00232CCE">
        <w:trPr>
          <w:trHeight w:val="870"/>
        </w:trPr>
        <w:tc>
          <w:tcPr>
            <w:tcW w:w="310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A4BAA" w:rsidRPr="00AA4BAA" w:rsidRDefault="00AA4BAA" w:rsidP="00AA4BAA">
            <w:pPr>
              <w:spacing w:after="0" w:line="240" w:lineRule="auto"/>
              <w:rPr>
                <w:rFonts w:ascii="Calibri" w:eastAsia="Times New Roman" w:hAnsi="Calibri" w:cs="Arial"/>
                <w:b/>
                <w:bCs/>
                <w:sz w:val="18"/>
                <w:szCs w:val="18"/>
                <w:lang w:eastAsia="es-ES"/>
              </w:rPr>
            </w:pPr>
            <w:r w:rsidRPr="00AA4BAA">
              <w:rPr>
                <w:rFonts w:ascii="Calibri" w:eastAsia="Times New Roman" w:hAnsi="Calibri" w:cs="Arial"/>
                <w:b/>
                <w:bCs/>
                <w:sz w:val="18"/>
                <w:szCs w:val="18"/>
                <w:lang w:eastAsia="es-ES"/>
              </w:rPr>
              <w:t>Subvenciones de Capital</w:t>
            </w:r>
          </w:p>
        </w:tc>
        <w:tc>
          <w:tcPr>
            <w:tcW w:w="113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 xml:space="preserve">Efecto Impositivo </w:t>
            </w:r>
            <w:proofErr w:type="spellStart"/>
            <w:r w:rsidRPr="00AA4BAA">
              <w:rPr>
                <w:rFonts w:ascii="Calibri" w:eastAsia="Times New Roman" w:hAnsi="Calibri" w:cs="Arial"/>
                <w:b/>
                <w:bCs/>
                <w:sz w:val="16"/>
                <w:szCs w:val="18"/>
                <w:lang w:eastAsia="es-ES"/>
              </w:rPr>
              <w:t>subv</w:t>
            </w:r>
            <w:proofErr w:type="spellEnd"/>
            <w:r w:rsidRPr="00AA4BAA">
              <w:rPr>
                <w:rFonts w:ascii="Calibri" w:eastAsia="Times New Roman" w:hAnsi="Calibri" w:cs="Arial"/>
                <w:b/>
                <w:bCs/>
                <w:sz w:val="16"/>
                <w:szCs w:val="18"/>
                <w:lang w:eastAsia="es-ES"/>
              </w:rPr>
              <w:t>. concedida 2017</w:t>
            </w:r>
          </w:p>
        </w:tc>
        <w:tc>
          <w:tcPr>
            <w:tcW w:w="100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Subvención concedida 2017</w:t>
            </w:r>
          </w:p>
        </w:tc>
        <w:tc>
          <w:tcPr>
            <w:tcW w:w="1131"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 xml:space="preserve">Efecto Impositivo Traspaso </w:t>
            </w:r>
            <w:proofErr w:type="spellStart"/>
            <w:r w:rsidRPr="00AA4BAA">
              <w:rPr>
                <w:rFonts w:ascii="Calibri" w:eastAsia="Times New Roman" w:hAnsi="Calibri" w:cs="Arial"/>
                <w:b/>
                <w:bCs/>
                <w:sz w:val="16"/>
                <w:szCs w:val="18"/>
                <w:lang w:eastAsia="es-ES"/>
              </w:rPr>
              <w:t>Rtdo</w:t>
            </w:r>
            <w:proofErr w:type="spellEnd"/>
            <w:r w:rsidRPr="00AA4BAA">
              <w:rPr>
                <w:rFonts w:ascii="Calibri" w:eastAsia="Times New Roman" w:hAnsi="Calibri" w:cs="Arial"/>
                <w:b/>
                <w:bCs/>
                <w:sz w:val="16"/>
                <w:szCs w:val="18"/>
                <w:lang w:eastAsia="es-ES"/>
              </w:rPr>
              <w:t>.</w:t>
            </w:r>
          </w:p>
        </w:tc>
        <w:tc>
          <w:tcPr>
            <w:tcW w:w="87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 xml:space="preserve">Traspaso </w:t>
            </w:r>
            <w:proofErr w:type="spellStart"/>
            <w:r w:rsidRPr="00AA4BAA">
              <w:rPr>
                <w:rFonts w:ascii="Calibri" w:eastAsia="Times New Roman" w:hAnsi="Calibri" w:cs="Arial"/>
                <w:b/>
                <w:bCs/>
                <w:sz w:val="16"/>
                <w:szCs w:val="18"/>
                <w:lang w:eastAsia="es-ES"/>
              </w:rPr>
              <w:t>Rtdos</w:t>
            </w:r>
            <w:proofErr w:type="spellEnd"/>
            <w:r w:rsidRPr="00AA4BAA">
              <w:rPr>
                <w:rFonts w:ascii="Calibri" w:eastAsia="Times New Roman" w:hAnsi="Calibri" w:cs="Arial"/>
                <w:b/>
                <w:bCs/>
                <w:sz w:val="16"/>
                <w:szCs w:val="18"/>
                <w:lang w:eastAsia="es-ES"/>
              </w:rPr>
              <w:t>.</w:t>
            </w:r>
          </w:p>
        </w:tc>
        <w:tc>
          <w:tcPr>
            <w:tcW w:w="873"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Efecto Impositivo Final 2017</w:t>
            </w:r>
          </w:p>
        </w:tc>
        <w:tc>
          <w:tcPr>
            <w:tcW w:w="100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Subvención Saldo Final 2017</w:t>
            </w:r>
          </w:p>
        </w:tc>
      </w:tr>
      <w:tr w:rsidR="00AA4BAA" w:rsidRPr="00AA4BAA" w:rsidTr="00232CCE">
        <w:trPr>
          <w:trHeight w:val="405"/>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 xml:space="preserve">Fortalecimiento del sistema de vigilancia volcánica en </w:t>
            </w:r>
            <w:proofErr w:type="spellStart"/>
            <w:r w:rsidRPr="00AA4BAA">
              <w:rPr>
                <w:rFonts w:ascii="Calibri" w:eastAsia="Times New Roman" w:hAnsi="Calibri" w:cs="Arial"/>
                <w:bCs/>
                <w:sz w:val="18"/>
                <w:szCs w:val="18"/>
                <w:lang w:eastAsia="es-ES"/>
              </w:rPr>
              <w:t>Fogo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400,00</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1.600,00</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1.394,44</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5.577,78</w:t>
            </w:r>
          </w:p>
        </w:tc>
      </w:tr>
      <w:tr w:rsidR="00AA4BAA" w:rsidRPr="00AA4BAA" w:rsidTr="00232CCE">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Vigilancia Volcánica de Tenerife 2014-2016</w:t>
            </w:r>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6.380,06</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25.520,23</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22.121,72</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88.486,88</w:t>
            </w:r>
          </w:p>
        </w:tc>
      </w:tr>
      <w:tr w:rsidR="00AA4BAA" w:rsidRPr="00AA4BAA" w:rsidTr="00232CCE">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Instalación Red Sísmica de Tenerife</w:t>
            </w:r>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2.500,03</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10.000,08</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22.499,97</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89.999,92</w:t>
            </w:r>
          </w:p>
        </w:tc>
      </w:tr>
      <w:tr w:rsidR="00AA4BAA" w:rsidRPr="00AA4BAA" w:rsidTr="00232CCE">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 xml:space="preserve">TF </w:t>
            </w:r>
            <w:proofErr w:type="spellStart"/>
            <w:r w:rsidRPr="00AA4BAA">
              <w:rPr>
                <w:rFonts w:ascii="Calibri" w:eastAsia="Times New Roman" w:hAnsi="Calibri" w:cs="Arial"/>
                <w:bCs/>
                <w:sz w:val="18"/>
                <w:szCs w:val="18"/>
                <w:lang w:eastAsia="es-ES"/>
              </w:rPr>
              <w:t>Volcano</w:t>
            </w:r>
            <w:proofErr w:type="spellEnd"/>
            <w:r w:rsidRPr="00AA4BAA">
              <w:rPr>
                <w:rFonts w:ascii="Calibri" w:eastAsia="Times New Roman" w:hAnsi="Calibri" w:cs="Arial"/>
                <w:bCs/>
                <w:sz w:val="18"/>
                <w:szCs w:val="18"/>
                <w:lang w:eastAsia="es-ES"/>
              </w:rPr>
              <w:t xml:space="preserve"> 2017</w:t>
            </w:r>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23.750,00</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95.000,00</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835,14</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3.340,57</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22.914,86</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91.659,43</w:t>
            </w:r>
          </w:p>
        </w:tc>
      </w:tr>
      <w:tr w:rsidR="00AA4BAA" w:rsidRPr="00AA4BAA" w:rsidTr="00232CCE">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 xml:space="preserve">TF </w:t>
            </w:r>
            <w:proofErr w:type="spellStart"/>
            <w:r w:rsidRPr="00AA4BAA">
              <w:rPr>
                <w:rFonts w:ascii="Calibri" w:eastAsia="Times New Roman" w:hAnsi="Calibri" w:cs="Arial"/>
                <w:bCs/>
                <w:sz w:val="18"/>
                <w:szCs w:val="18"/>
                <w:lang w:eastAsia="es-ES"/>
              </w:rPr>
              <w:t>Resiliencia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1.500,00</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6.000,00</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35,26</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141,02</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1.464,74</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5.858,98</w:t>
            </w:r>
          </w:p>
        </w:tc>
      </w:tr>
      <w:tr w:rsidR="00AA4BAA" w:rsidRPr="00AA4BAA" w:rsidTr="00232CCE">
        <w:trPr>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TF Geotermia</w:t>
            </w:r>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91.250,00</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365.000,00</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706,92</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2.827,69</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90.543,08</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362.172,31</w:t>
            </w:r>
          </w:p>
        </w:tc>
      </w:tr>
      <w:tr w:rsidR="00AA4BAA" w:rsidRPr="00AA4BAA" w:rsidTr="00232CCE">
        <w:trPr>
          <w:trHeight w:val="300"/>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rsidR="00AA4BAA" w:rsidRPr="00AA4BAA" w:rsidRDefault="00AA4BAA" w:rsidP="00AA4BAA">
            <w:pPr>
              <w:spacing w:after="0" w:line="240" w:lineRule="auto"/>
              <w:jc w:val="center"/>
              <w:rPr>
                <w:rFonts w:ascii="Calibri" w:eastAsia="Times New Roman" w:hAnsi="Calibri" w:cs="Arial"/>
                <w:sz w:val="18"/>
                <w:szCs w:val="18"/>
                <w:lang w:eastAsia="es-ES"/>
              </w:rPr>
            </w:pPr>
            <w:r w:rsidRPr="00AA4BAA">
              <w:rPr>
                <w:rFonts w:ascii="Calibri" w:eastAsia="Times New Roman" w:hAnsi="Calibri" w:cs="Arial"/>
                <w:sz w:val="18"/>
                <w:szCs w:val="18"/>
                <w:lang w:eastAsia="es-ES"/>
              </w:rPr>
              <w:t> </w:t>
            </w:r>
          </w:p>
        </w:tc>
        <w:tc>
          <w:tcPr>
            <w:tcW w:w="1134"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116.500,00</w:t>
            </w:r>
          </w:p>
        </w:tc>
        <w:tc>
          <w:tcPr>
            <w:tcW w:w="1004"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466.000,00</w:t>
            </w:r>
          </w:p>
        </w:tc>
        <w:tc>
          <w:tcPr>
            <w:tcW w:w="1131"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10.857,41</w:t>
            </w:r>
          </w:p>
        </w:tc>
        <w:tc>
          <w:tcPr>
            <w:tcW w:w="874"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43.429,59</w:t>
            </w:r>
          </w:p>
        </w:tc>
        <w:tc>
          <w:tcPr>
            <w:tcW w:w="873"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160.938,81</w:t>
            </w:r>
          </w:p>
        </w:tc>
        <w:tc>
          <w:tcPr>
            <w:tcW w:w="1004" w:type="dxa"/>
            <w:tcBorders>
              <w:top w:val="nil"/>
              <w:left w:val="nil"/>
              <w:bottom w:val="single" w:sz="8"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643.755,30</w:t>
            </w:r>
          </w:p>
        </w:tc>
      </w:tr>
      <w:tr w:rsidR="00AA4BAA" w:rsidRPr="00AA4BAA" w:rsidTr="00232CCE">
        <w:trPr>
          <w:trHeight w:val="300"/>
        </w:trPr>
        <w:tc>
          <w:tcPr>
            <w:tcW w:w="8125" w:type="dxa"/>
            <w:gridSpan w:val="6"/>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AA4BAA" w:rsidRPr="00106A87" w:rsidRDefault="00AA4BAA" w:rsidP="00AA4BAA">
            <w:pPr>
              <w:spacing w:after="0" w:line="240" w:lineRule="auto"/>
              <w:rPr>
                <w:rFonts w:ascii="Calibri" w:eastAsia="Times New Roman" w:hAnsi="Calibri" w:cs="Arial"/>
                <w:b/>
                <w:bCs/>
                <w:sz w:val="18"/>
                <w:szCs w:val="18"/>
                <w:lang w:eastAsia="es-ES"/>
              </w:rPr>
            </w:pPr>
            <w:r w:rsidRPr="00106A87">
              <w:rPr>
                <w:rFonts w:ascii="Calibri" w:eastAsia="Times New Roman" w:hAnsi="Calibri" w:cs="Arial"/>
                <w:b/>
                <w:bCs/>
                <w:sz w:val="18"/>
                <w:szCs w:val="18"/>
                <w:lang w:eastAsia="es-ES"/>
              </w:rPr>
              <w:t>Saldo Neto Subvenciones</w:t>
            </w:r>
          </w:p>
        </w:tc>
        <w:tc>
          <w:tcPr>
            <w:tcW w:w="1004" w:type="dxa"/>
            <w:tcBorders>
              <w:top w:val="nil"/>
              <w:left w:val="nil"/>
              <w:bottom w:val="single" w:sz="8" w:space="0" w:color="auto"/>
              <w:right w:val="single" w:sz="8" w:space="0" w:color="auto"/>
            </w:tcBorders>
            <w:shd w:val="clear" w:color="000000" w:fill="C0C0C0"/>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482.816,49</w:t>
            </w:r>
          </w:p>
        </w:tc>
      </w:tr>
      <w:tr w:rsidR="00AA4BAA" w:rsidRPr="00AA4BAA" w:rsidTr="00232CCE">
        <w:trPr>
          <w:trHeight w:val="810"/>
        </w:trPr>
        <w:tc>
          <w:tcPr>
            <w:tcW w:w="310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A4BAA" w:rsidRPr="00AA4BAA" w:rsidRDefault="00AA4BAA" w:rsidP="00AA4BAA">
            <w:pPr>
              <w:spacing w:after="0" w:line="240" w:lineRule="auto"/>
              <w:rPr>
                <w:rFonts w:ascii="Calibri" w:eastAsia="Times New Roman" w:hAnsi="Calibri" w:cs="Arial"/>
                <w:b/>
                <w:bCs/>
                <w:sz w:val="18"/>
                <w:szCs w:val="18"/>
                <w:lang w:eastAsia="es-ES"/>
              </w:rPr>
            </w:pPr>
            <w:r w:rsidRPr="00AA4BAA">
              <w:rPr>
                <w:rFonts w:ascii="Calibri" w:eastAsia="Times New Roman" w:hAnsi="Calibri" w:cs="Arial"/>
                <w:b/>
                <w:bCs/>
                <w:sz w:val="18"/>
                <w:szCs w:val="18"/>
                <w:lang w:eastAsia="es-ES"/>
              </w:rPr>
              <w:t>Subvenciones de Capital</w:t>
            </w:r>
          </w:p>
        </w:tc>
        <w:tc>
          <w:tcPr>
            <w:tcW w:w="113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 xml:space="preserve">Efecto Impositivo </w:t>
            </w:r>
            <w:proofErr w:type="spellStart"/>
            <w:r w:rsidRPr="00AA4BAA">
              <w:rPr>
                <w:rFonts w:ascii="Calibri" w:eastAsia="Times New Roman" w:hAnsi="Calibri" w:cs="Arial"/>
                <w:b/>
                <w:bCs/>
                <w:sz w:val="16"/>
                <w:szCs w:val="18"/>
                <w:lang w:eastAsia="es-ES"/>
              </w:rPr>
              <w:t>subv</w:t>
            </w:r>
            <w:proofErr w:type="spellEnd"/>
            <w:r w:rsidRPr="00AA4BAA">
              <w:rPr>
                <w:rFonts w:ascii="Calibri" w:eastAsia="Times New Roman" w:hAnsi="Calibri" w:cs="Arial"/>
                <w:b/>
                <w:bCs/>
                <w:sz w:val="16"/>
                <w:szCs w:val="18"/>
                <w:lang w:eastAsia="es-ES"/>
              </w:rPr>
              <w:t>. concedida 2016</w:t>
            </w:r>
          </w:p>
        </w:tc>
        <w:tc>
          <w:tcPr>
            <w:tcW w:w="100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Subvención concedida 2016</w:t>
            </w:r>
          </w:p>
        </w:tc>
        <w:tc>
          <w:tcPr>
            <w:tcW w:w="1131"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 xml:space="preserve">Efecto Impositivo Traspaso </w:t>
            </w:r>
            <w:proofErr w:type="spellStart"/>
            <w:r w:rsidRPr="00AA4BAA">
              <w:rPr>
                <w:rFonts w:ascii="Calibri" w:eastAsia="Times New Roman" w:hAnsi="Calibri" w:cs="Arial"/>
                <w:b/>
                <w:bCs/>
                <w:sz w:val="16"/>
                <w:szCs w:val="18"/>
                <w:lang w:eastAsia="es-ES"/>
              </w:rPr>
              <w:t>Rtdo</w:t>
            </w:r>
            <w:proofErr w:type="spellEnd"/>
            <w:r w:rsidRPr="00AA4BAA">
              <w:rPr>
                <w:rFonts w:ascii="Calibri" w:eastAsia="Times New Roman" w:hAnsi="Calibri" w:cs="Arial"/>
                <w:b/>
                <w:bCs/>
                <w:sz w:val="16"/>
                <w:szCs w:val="18"/>
                <w:lang w:eastAsia="es-ES"/>
              </w:rPr>
              <w:t>.</w:t>
            </w:r>
          </w:p>
        </w:tc>
        <w:tc>
          <w:tcPr>
            <w:tcW w:w="87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 xml:space="preserve">Traspaso </w:t>
            </w:r>
            <w:proofErr w:type="spellStart"/>
            <w:r w:rsidRPr="00AA4BAA">
              <w:rPr>
                <w:rFonts w:ascii="Calibri" w:eastAsia="Times New Roman" w:hAnsi="Calibri" w:cs="Arial"/>
                <w:b/>
                <w:bCs/>
                <w:sz w:val="16"/>
                <w:szCs w:val="18"/>
                <w:lang w:eastAsia="es-ES"/>
              </w:rPr>
              <w:t>Rtdos</w:t>
            </w:r>
            <w:proofErr w:type="spellEnd"/>
            <w:r w:rsidRPr="00AA4BAA">
              <w:rPr>
                <w:rFonts w:ascii="Calibri" w:eastAsia="Times New Roman" w:hAnsi="Calibri" w:cs="Arial"/>
                <w:b/>
                <w:bCs/>
                <w:sz w:val="16"/>
                <w:szCs w:val="18"/>
                <w:lang w:eastAsia="es-ES"/>
              </w:rPr>
              <w:t>.</w:t>
            </w:r>
          </w:p>
        </w:tc>
        <w:tc>
          <w:tcPr>
            <w:tcW w:w="873"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Efecto Impositivo Final 2016</w:t>
            </w:r>
          </w:p>
        </w:tc>
        <w:tc>
          <w:tcPr>
            <w:tcW w:w="1004" w:type="dxa"/>
            <w:tcBorders>
              <w:top w:val="single" w:sz="8" w:space="0" w:color="auto"/>
              <w:left w:val="nil"/>
              <w:bottom w:val="single" w:sz="8" w:space="0" w:color="auto"/>
              <w:right w:val="single" w:sz="8" w:space="0" w:color="auto"/>
            </w:tcBorders>
            <w:shd w:val="clear" w:color="000000" w:fill="BFBFBF"/>
            <w:vAlign w:val="bottom"/>
            <w:hideMark/>
          </w:tcPr>
          <w:p w:rsidR="00AA4BAA" w:rsidRPr="00AA4BAA" w:rsidRDefault="00AA4BAA" w:rsidP="00AA4BAA">
            <w:pPr>
              <w:spacing w:after="0" w:line="240" w:lineRule="auto"/>
              <w:jc w:val="center"/>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Subvención Saldo Final 2016</w:t>
            </w:r>
          </w:p>
        </w:tc>
        <w:bookmarkStart w:id="2" w:name="_GoBack"/>
        <w:bookmarkEnd w:id="2"/>
      </w:tr>
      <w:tr w:rsidR="00AA4BAA" w:rsidRPr="00AA4BAA" w:rsidTr="00232CCE">
        <w:trPr>
          <w:trHeight w:val="435"/>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 xml:space="preserve">Fortalecimiento del sistema de vigilancia volcánica en </w:t>
            </w:r>
            <w:proofErr w:type="spellStart"/>
            <w:r w:rsidRPr="00AA4BAA">
              <w:rPr>
                <w:rFonts w:ascii="Calibri" w:eastAsia="Times New Roman" w:hAnsi="Calibri" w:cs="Arial"/>
                <w:bCs/>
                <w:sz w:val="18"/>
                <w:szCs w:val="18"/>
                <w:lang w:eastAsia="es-ES"/>
              </w:rPr>
              <w:t>Fogo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205,56</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822,22</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1.794,44</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7.177,78</w:t>
            </w:r>
          </w:p>
        </w:tc>
      </w:tr>
      <w:tr w:rsidR="00AA4BAA" w:rsidRPr="00AA4BAA" w:rsidTr="00232CCE">
        <w:trPr>
          <w:trHeight w:val="34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 xml:space="preserve">Vigilancia Volcánica de Tenerife </w:t>
            </w:r>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16.250,00</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65.000,00</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3.378,41</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13.513,65</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28.501,78</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114.007,11</w:t>
            </w:r>
          </w:p>
        </w:tc>
      </w:tr>
      <w:tr w:rsidR="00AA4BAA" w:rsidRPr="00AA4BAA" w:rsidTr="00232CCE">
        <w:trPr>
          <w:trHeight w:val="34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bCs/>
                <w:sz w:val="18"/>
                <w:szCs w:val="18"/>
                <w:lang w:eastAsia="es-ES"/>
              </w:rPr>
            </w:pPr>
            <w:r w:rsidRPr="00AA4BAA">
              <w:rPr>
                <w:rFonts w:ascii="Calibri" w:eastAsia="Times New Roman" w:hAnsi="Calibri" w:cs="Arial"/>
                <w:bCs/>
                <w:sz w:val="18"/>
                <w:szCs w:val="18"/>
                <w:lang w:eastAsia="es-ES"/>
              </w:rPr>
              <w:t>Instalación Red Sísmica de Tenerife</w:t>
            </w:r>
          </w:p>
        </w:tc>
        <w:tc>
          <w:tcPr>
            <w:tcW w:w="113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25.000,00</w:t>
            </w:r>
          </w:p>
        </w:tc>
        <w:tc>
          <w:tcPr>
            <w:tcW w:w="100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100.000,00</w:t>
            </w:r>
          </w:p>
        </w:tc>
        <w:tc>
          <w:tcPr>
            <w:tcW w:w="1131"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rPr>
                <w:rFonts w:ascii="Calibri" w:eastAsia="Times New Roman" w:hAnsi="Calibri" w:cs="Arial"/>
                <w:sz w:val="16"/>
                <w:szCs w:val="18"/>
                <w:lang w:eastAsia="es-ES"/>
              </w:rPr>
            </w:pPr>
            <w:r w:rsidRPr="00AA4BAA">
              <w:rPr>
                <w:rFonts w:ascii="Calibri" w:eastAsia="Times New Roman" w:hAnsi="Calibri" w:cs="Arial"/>
                <w:sz w:val="16"/>
                <w:szCs w:val="18"/>
                <w:lang w:eastAsia="es-ES"/>
              </w:rPr>
              <w:t> </w:t>
            </w:r>
          </w:p>
        </w:tc>
        <w:tc>
          <w:tcPr>
            <w:tcW w:w="873" w:type="dxa"/>
            <w:tcBorders>
              <w:top w:val="nil"/>
              <w:left w:val="nil"/>
              <w:bottom w:val="single" w:sz="4" w:space="0" w:color="auto"/>
              <w:right w:val="single" w:sz="4"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25.000,00</w:t>
            </w:r>
          </w:p>
        </w:tc>
        <w:tc>
          <w:tcPr>
            <w:tcW w:w="1004" w:type="dxa"/>
            <w:tcBorders>
              <w:top w:val="nil"/>
              <w:left w:val="nil"/>
              <w:bottom w:val="single" w:sz="4" w:space="0" w:color="auto"/>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sz w:val="16"/>
                <w:szCs w:val="18"/>
                <w:lang w:eastAsia="es-ES"/>
              </w:rPr>
            </w:pPr>
            <w:r w:rsidRPr="00AA4BAA">
              <w:rPr>
                <w:rFonts w:ascii="Calibri" w:eastAsia="Times New Roman" w:hAnsi="Calibri" w:cs="Arial"/>
                <w:sz w:val="16"/>
                <w:szCs w:val="18"/>
                <w:lang w:eastAsia="es-ES"/>
              </w:rPr>
              <w:t>100.000,00</w:t>
            </w:r>
          </w:p>
        </w:tc>
      </w:tr>
      <w:tr w:rsidR="00AA4BAA" w:rsidRPr="00AA4BAA" w:rsidTr="00232CCE">
        <w:trPr>
          <w:trHeight w:val="342"/>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rsidR="00AA4BAA" w:rsidRPr="00AA4BAA" w:rsidRDefault="00AA4BAA" w:rsidP="00AA4BAA">
            <w:pPr>
              <w:spacing w:after="0" w:line="240" w:lineRule="auto"/>
              <w:jc w:val="center"/>
              <w:rPr>
                <w:rFonts w:ascii="Calibri" w:eastAsia="Times New Roman" w:hAnsi="Calibri" w:cs="Arial"/>
                <w:sz w:val="18"/>
                <w:szCs w:val="18"/>
                <w:lang w:eastAsia="es-ES"/>
              </w:rPr>
            </w:pPr>
            <w:r w:rsidRPr="00AA4BAA">
              <w:rPr>
                <w:rFonts w:ascii="Calibri" w:eastAsia="Times New Roman" w:hAnsi="Calibri" w:cs="Arial"/>
                <w:sz w:val="18"/>
                <w:szCs w:val="18"/>
                <w:lang w:eastAsia="es-ES"/>
              </w:rPr>
              <w:t> </w:t>
            </w:r>
          </w:p>
        </w:tc>
        <w:tc>
          <w:tcPr>
            <w:tcW w:w="1134"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41.250,00</w:t>
            </w:r>
          </w:p>
        </w:tc>
        <w:tc>
          <w:tcPr>
            <w:tcW w:w="1004"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165.000,00</w:t>
            </w:r>
          </w:p>
        </w:tc>
        <w:tc>
          <w:tcPr>
            <w:tcW w:w="1131"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3.583,97</w:t>
            </w:r>
          </w:p>
        </w:tc>
        <w:tc>
          <w:tcPr>
            <w:tcW w:w="874"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14.335,87</w:t>
            </w:r>
          </w:p>
        </w:tc>
        <w:tc>
          <w:tcPr>
            <w:tcW w:w="873" w:type="dxa"/>
            <w:tcBorders>
              <w:top w:val="nil"/>
              <w:left w:val="nil"/>
              <w:bottom w:val="nil"/>
              <w:right w:val="nil"/>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55.296,22</w:t>
            </w:r>
          </w:p>
        </w:tc>
        <w:tc>
          <w:tcPr>
            <w:tcW w:w="1004" w:type="dxa"/>
            <w:tcBorders>
              <w:top w:val="nil"/>
              <w:left w:val="nil"/>
              <w:bottom w:val="nil"/>
              <w:right w:val="single" w:sz="8" w:space="0" w:color="auto"/>
            </w:tcBorders>
            <w:shd w:val="clear" w:color="auto" w:fill="auto"/>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221.184,89</w:t>
            </w:r>
          </w:p>
        </w:tc>
      </w:tr>
      <w:tr w:rsidR="00AA4BAA" w:rsidRPr="00AA4BAA" w:rsidTr="00232CCE">
        <w:trPr>
          <w:trHeight w:val="342"/>
        </w:trPr>
        <w:tc>
          <w:tcPr>
            <w:tcW w:w="8125" w:type="dxa"/>
            <w:gridSpan w:val="6"/>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AA4BAA" w:rsidRPr="00AA4BAA" w:rsidRDefault="00AA4BAA" w:rsidP="00AA4BAA">
            <w:pPr>
              <w:spacing w:after="0" w:line="240" w:lineRule="auto"/>
              <w:rPr>
                <w:rFonts w:ascii="Calibri" w:eastAsia="Times New Roman" w:hAnsi="Calibri" w:cs="Arial"/>
                <w:b/>
                <w:bCs/>
                <w:sz w:val="18"/>
                <w:szCs w:val="18"/>
                <w:lang w:eastAsia="es-ES"/>
              </w:rPr>
            </w:pPr>
            <w:r w:rsidRPr="00AA4BAA">
              <w:rPr>
                <w:rFonts w:ascii="Calibri" w:eastAsia="Times New Roman" w:hAnsi="Calibri" w:cs="Arial"/>
                <w:b/>
                <w:bCs/>
                <w:sz w:val="18"/>
                <w:szCs w:val="18"/>
                <w:lang w:eastAsia="es-ES"/>
              </w:rPr>
              <w:t>Saldo neto de subvenciones</w:t>
            </w:r>
          </w:p>
        </w:tc>
        <w:tc>
          <w:tcPr>
            <w:tcW w:w="1004" w:type="dxa"/>
            <w:tcBorders>
              <w:top w:val="single" w:sz="8" w:space="0" w:color="auto"/>
              <w:left w:val="nil"/>
              <w:bottom w:val="single" w:sz="8" w:space="0" w:color="auto"/>
              <w:right w:val="single" w:sz="8" w:space="0" w:color="auto"/>
            </w:tcBorders>
            <w:shd w:val="clear" w:color="000000" w:fill="C0C0C0"/>
            <w:noWrap/>
            <w:vAlign w:val="bottom"/>
            <w:hideMark/>
          </w:tcPr>
          <w:p w:rsidR="00AA4BAA" w:rsidRPr="00AA4BAA" w:rsidRDefault="00AA4BAA" w:rsidP="00AA4BAA">
            <w:pPr>
              <w:spacing w:after="0" w:line="240" w:lineRule="auto"/>
              <w:jc w:val="right"/>
              <w:rPr>
                <w:rFonts w:ascii="Calibri" w:eastAsia="Times New Roman" w:hAnsi="Calibri" w:cs="Arial"/>
                <w:b/>
                <w:bCs/>
                <w:sz w:val="16"/>
                <w:szCs w:val="18"/>
                <w:lang w:eastAsia="es-ES"/>
              </w:rPr>
            </w:pPr>
            <w:r w:rsidRPr="00AA4BAA">
              <w:rPr>
                <w:rFonts w:ascii="Calibri" w:eastAsia="Times New Roman" w:hAnsi="Calibri" w:cs="Arial"/>
                <w:b/>
                <w:bCs/>
                <w:sz w:val="16"/>
                <w:szCs w:val="18"/>
                <w:lang w:eastAsia="es-ES"/>
              </w:rPr>
              <w:t>165.888,67</w:t>
            </w:r>
          </w:p>
        </w:tc>
      </w:tr>
    </w:tbl>
    <w:p w:rsidR="00AA4BAA" w:rsidRDefault="00AA4BAA" w:rsidP="00AA4BAA"/>
    <w:p w:rsidR="00232CCE" w:rsidRPr="00232CCE" w:rsidRDefault="00232CCE" w:rsidP="00232CCE">
      <w:pPr>
        <w:jc w:val="both"/>
        <w:rPr>
          <w:u w:val="single"/>
        </w:rPr>
      </w:pPr>
      <w:r w:rsidRPr="00232CCE">
        <w:rPr>
          <w:u w:val="single"/>
        </w:rPr>
        <w:t xml:space="preserve">Importe Neto de la cifra de negocios </w:t>
      </w:r>
    </w:p>
    <w:p w:rsidR="00AA4BAA" w:rsidRDefault="00232CCE" w:rsidP="00232CCE">
      <w:pPr>
        <w:jc w:val="both"/>
      </w:pPr>
      <w:r w:rsidRPr="00232CCE">
        <w:t>El importe neto de la cifra de negocios corresponde el 100% a la prestación de servicios realizados a diferentes entidades públicas y privadas por actividades derivadas de su objeto social, tales como análisis químicos e isotópicos de gases disueltos en aguas naturales, trabajos en geología-vulcanología y geoquímica, orientación formativa a profesionales del sector turístico, etc.</w:t>
      </w:r>
    </w:p>
    <w:p w:rsidR="00234FE5" w:rsidRDefault="00D553C7" w:rsidP="007556A6">
      <w:pPr>
        <w:jc w:val="both"/>
        <w:rPr>
          <w:u w:val="single"/>
        </w:rPr>
      </w:pPr>
      <w:proofErr w:type="spellStart"/>
      <w:r>
        <w:rPr>
          <w:u w:val="single"/>
        </w:rPr>
        <w:t>Periodificaciones</w:t>
      </w:r>
      <w:proofErr w:type="spellEnd"/>
    </w:p>
    <w:p w:rsidR="00D553C7" w:rsidRPr="002D55DA" w:rsidRDefault="00D553C7" w:rsidP="00D553C7">
      <w:pPr>
        <w:jc w:val="both"/>
      </w:pPr>
      <w:r w:rsidRPr="002D55DA">
        <w:t>Dentro del Pasivo Corriente se recoge la partida: “</w:t>
      </w:r>
      <w:proofErr w:type="spellStart"/>
      <w:r w:rsidRPr="002D55DA">
        <w:t>Periodificaciones</w:t>
      </w:r>
      <w:proofErr w:type="spellEnd"/>
      <w:r w:rsidRPr="002D55DA">
        <w:t xml:space="preserve"> a corto plazo” por importe de 591.111,18 euros (2016:0,00 euros) en concepto de subvenciones cobradas anticipadamente, referidas a ejercicios posteriores. </w:t>
      </w:r>
    </w:p>
    <w:p w:rsidR="007556A6" w:rsidRDefault="007556A6" w:rsidP="007556A6">
      <w:pPr>
        <w:jc w:val="both"/>
        <w:rPr>
          <w:u w:val="single"/>
        </w:rPr>
      </w:pPr>
      <w:r>
        <w:rPr>
          <w:u w:val="single"/>
        </w:rPr>
        <w:t>Distribución de resultados</w:t>
      </w:r>
    </w:p>
    <w:p w:rsidR="007556A6" w:rsidRDefault="007556A6" w:rsidP="007556A6">
      <w:pPr>
        <w:jc w:val="both"/>
        <w:rPr>
          <w:u w:val="single"/>
        </w:rPr>
      </w:pPr>
    </w:p>
    <w:tbl>
      <w:tblPr>
        <w:tblW w:w="7320" w:type="dxa"/>
        <w:tblInd w:w="599" w:type="dxa"/>
        <w:tblCellMar>
          <w:left w:w="70" w:type="dxa"/>
          <w:right w:w="70" w:type="dxa"/>
        </w:tblCellMar>
        <w:tblLook w:val="04A0"/>
      </w:tblPr>
      <w:tblGrid>
        <w:gridCol w:w="4340"/>
        <w:gridCol w:w="1480"/>
        <w:gridCol w:w="1500"/>
      </w:tblGrid>
      <w:tr w:rsidR="007556A6" w:rsidRPr="007556A6" w:rsidTr="007556A6">
        <w:trPr>
          <w:trHeight w:val="315"/>
        </w:trPr>
        <w:tc>
          <w:tcPr>
            <w:tcW w:w="4340" w:type="dxa"/>
            <w:tcBorders>
              <w:top w:val="single" w:sz="4" w:space="0" w:color="auto"/>
              <w:left w:val="nil"/>
              <w:bottom w:val="double" w:sz="6" w:space="0" w:color="auto"/>
              <w:right w:val="nil"/>
            </w:tcBorders>
            <w:shd w:val="clear" w:color="000000" w:fill="BFBFBF"/>
            <w:noWrap/>
            <w:vAlign w:val="bottom"/>
            <w:hideMark/>
          </w:tcPr>
          <w:p w:rsidR="007556A6" w:rsidRPr="009B6971" w:rsidRDefault="007556A6" w:rsidP="007556A6">
            <w:pPr>
              <w:spacing w:after="0" w:line="240" w:lineRule="auto"/>
              <w:jc w:val="center"/>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Base de Reparto</w:t>
            </w:r>
          </w:p>
        </w:tc>
        <w:tc>
          <w:tcPr>
            <w:tcW w:w="1480"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7556A6" w:rsidRPr="009B6971" w:rsidRDefault="007556A6" w:rsidP="007556A6">
            <w:pPr>
              <w:spacing w:after="0" w:line="240" w:lineRule="auto"/>
              <w:jc w:val="center"/>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2.017</w:t>
            </w:r>
          </w:p>
        </w:tc>
        <w:tc>
          <w:tcPr>
            <w:tcW w:w="1500" w:type="dxa"/>
            <w:tcBorders>
              <w:top w:val="single" w:sz="4" w:space="0" w:color="auto"/>
              <w:left w:val="nil"/>
              <w:bottom w:val="double" w:sz="6" w:space="0" w:color="auto"/>
              <w:right w:val="single" w:sz="4" w:space="0" w:color="auto"/>
            </w:tcBorders>
            <w:shd w:val="clear" w:color="000000" w:fill="BFBFBF"/>
            <w:noWrap/>
            <w:vAlign w:val="bottom"/>
            <w:hideMark/>
          </w:tcPr>
          <w:p w:rsidR="007556A6" w:rsidRPr="009B6971" w:rsidRDefault="007556A6" w:rsidP="007556A6">
            <w:pPr>
              <w:spacing w:after="0" w:line="240" w:lineRule="auto"/>
              <w:jc w:val="center"/>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2.016</w:t>
            </w:r>
          </w:p>
        </w:tc>
      </w:tr>
      <w:tr w:rsidR="007556A6" w:rsidRPr="009B6971" w:rsidTr="007556A6">
        <w:trPr>
          <w:trHeight w:val="450"/>
        </w:trPr>
        <w:tc>
          <w:tcPr>
            <w:tcW w:w="4340" w:type="dxa"/>
            <w:tcBorders>
              <w:top w:val="nil"/>
              <w:left w:val="nil"/>
              <w:bottom w:val="nil"/>
              <w:right w:val="nil"/>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Saldo Cuenta de Pérdidas y Ganancias</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129.643,04</w:t>
            </w:r>
          </w:p>
        </w:tc>
        <w:tc>
          <w:tcPr>
            <w:tcW w:w="1500" w:type="dxa"/>
            <w:tcBorders>
              <w:top w:val="nil"/>
              <w:left w:val="nil"/>
              <w:bottom w:val="nil"/>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2.384,93</w:t>
            </w:r>
          </w:p>
        </w:tc>
      </w:tr>
      <w:tr w:rsidR="007556A6" w:rsidRPr="009B6971" w:rsidTr="007556A6">
        <w:trPr>
          <w:trHeight w:val="300"/>
        </w:trPr>
        <w:tc>
          <w:tcPr>
            <w:tcW w:w="4340" w:type="dxa"/>
            <w:tcBorders>
              <w:top w:val="nil"/>
              <w:left w:val="nil"/>
              <w:bottom w:val="nil"/>
              <w:right w:val="nil"/>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Remanente</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c>
          <w:tcPr>
            <w:tcW w:w="1500" w:type="dxa"/>
            <w:tcBorders>
              <w:top w:val="nil"/>
              <w:left w:val="nil"/>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r>
      <w:tr w:rsidR="007556A6" w:rsidRPr="007556A6" w:rsidTr="007556A6">
        <w:trPr>
          <w:trHeight w:val="300"/>
        </w:trPr>
        <w:tc>
          <w:tcPr>
            <w:tcW w:w="4340" w:type="dxa"/>
            <w:tcBorders>
              <w:top w:val="nil"/>
              <w:left w:val="nil"/>
              <w:bottom w:val="nil"/>
              <w:right w:val="nil"/>
            </w:tcBorders>
            <w:shd w:val="clear" w:color="auto" w:fill="auto"/>
            <w:noWrap/>
            <w:vAlign w:val="bottom"/>
            <w:hideMark/>
          </w:tcPr>
          <w:p w:rsidR="007556A6" w:rsidRPr="007556A6" w:rsidRDefault="007556A6" w:rsidP="007556A6">
            <w:pPr>
              <w:spacing w:after="0" w:line="240" w:lineRule="auto"/>
              <w:rPr>
                <w:rFonts w:ascii="Calibri" w:eastAsia="Times New Roman" w:hAnsi="Calibri" w:cs="Calibri"/>
                <w:color w:val="000000"/>
                <w:sz w:val="20"/>
                <w:szCs w:val="20"/>
                <w:lang w:eastAsia="es-ES"/>
              </w:rPr>
            </w:pPr>
            <w:r w:rsidRPr="007556A6">
              <w:rPr>
                <w:rFonts w:ascii="Calibri" w:eastAsia="Times New Roman" w:hAnsi="Calibri" w:cs="Calibri"/>
                <w:color w:val="000000"/>
                <w:sz w:val="20"/>
                <w:szCs w:val="20"/>
                <w:lang w:eastAsia="es-ES"/>
              </w:rPr>
              <w:t>Rese</w:t>
            </w:r>
            <w:r w:rsidR="009B6971">
              <w:rPr>
                <w:rFonts w:ascii="Calibri" w:eastAsia="Times New Roman" w:hAnsi="Calibri" w:cs="Calibri"/>
                <w:color w:val="000000"/>
                <w:sz w:val="20"/>
                <w:szCs w:val="20"/>
                <w:lang w:eastAsia="es-ES"/>
              </w:rPr>
              <w:t>r</w:t>
            </w:r>
            <w:r w:rsidRPr="007556A6">
              <w:rPr>
                <w:rFonts w:ascii="Calibri" w:eastAsia="Times New Roman" w:hAnsi="Calibri" w:cs="Calibri"/>
                <w:color w:val="000000"/>
                <w:sz w:val="20"/>
                <w:szCs w:val="20"/>
                <w:lang w:eastAsia="es-ES"/>
              </w:rPr>
              <w:t>vas Voluntarias</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7556A6" w:rsidRDefault="007556A6" w:rsidP="007556A6">
            <w:pPr>
              <w:spacing w:after="0" w:line="240" w:lineRule="auto"/>
              <w:rPr>
                <w:rFonts w:ascii="Calibri" w:eastAsia="Times New Roman" w:hAnsi="Calibri" w:cs="Calibri"/>
                <w:color w:val="000000"/>
                <w:sz w:val="20"/>
                <w:szCs w:val="20"/>
                <w:lang w:eastAsia="es-ES"/>
              </w:rPr>
            </w:pPr>
            <w:r w:rsidRPr="007556A6">
              <w:rPr>
                <w:rFonts w:ascii="Calibri" w:eastAsia="Times New Roman" w:hAnsi="Calibri" w:cs="Calibri"/>
                <w:color w:val="000000"/>
                <w:sz w:val="20"/>
                <w:szCs w:val="20"/>
                <w:lang w:eastAsia="es-ES"/>
              </w:rPr>
              <w:t> </w:t>
            </w:r>
          </w:p>
        </w:tc>
        <w:tc>
          <w:tcPr>
            <w:tcW w:w="1500" w:type="dxa"/>
            <w:tcBorders>
              <w:top w:val="nil"/>
              <w:left w:val="nil"/>
              <w:bottom w:val="nil"/>
              <w:right w:val="single" w:sz="4" w:space="0" w:color="auto"/>
            </w:tcBorders>
            <w:shd w:val="clear" w:color="auto" w:fill="auto"/>
            <w:noWrap/>
            <w:vAlign w:val="bottom"/>
            <w:hideMark/>
          </w:tcPr>
          <w:p w:rsidR="007556A6" w:rsidRPr="007556A6" w:rsidRDefault="007556A6" w:rsidP="007556A6">
            <w:pPr>
              <w:spacing w:after="0" w:line="240" w:lineRule="auto"/>
              <w:rPr>
                <w:rFonts w:ascii="Calibri" w:eastAsia="Times New Roman" w:hAnsi="Calibri" w:cs="Calibri"/>
                <w:color w:val="000000"/>
                <w:sz w:val="20"/>
                <w:szCs w:val="20"/>
                <w:lang w:eastAsia="es-ES"/>
              </w:rPr>
            </w:pPr>
            <w:r w:rsidRPr="007556A6">
              <w:rPr>
                <w:rFonts w:ascii="Calibri" w:eastAsia="Times New Roman" w:hAnsi="Calibri" w:cs="Calibri"/>
                <w:color w:val="000000"/>
                <w:sz w:val="20"/>
                <w:szCs w:val="20"/>
                <w:lang w:eastAsia="es-ES"/>
              </w:rPr>
              <w:t> </w:t>
            </w:r>
          </w:p>
        </w:tc>
      </w:tr>
      <w:tr w:rsidR="007556A6" w:rsidRPr="007556A6" w:rsidTr="007556A6">
        <w:trPr>
          <w:trHeight w:val="405"/>
        </w:trPr>
        <w:tc>
          <w:tcPr>
            <w:tcW w:w="4340" w:type="dxa"/>
            <w:tcBorders>
              <w:top w:val="single" w:sz="4" w:space="0" w:color="auto"/>
              <w:left w:val="nil"/>
              <w:bottom w:val="double" w:sz="6" w:space="0" w:color="auto"/>
              <w:right w:val="nil"/>
            </w:tcBorders>
            <w:shd w:val="clear" w:color="auto" w:fill="auto"/>
            <w:noWrap/>
            <w:vAlign w:val="bottom"/>
            <w:hideMark/>
          </w:tcPr>
          <w:p w:rsidR="007556A6" w:rsidRPr="007556A6" w:rsidRDefault="007556A6" w:rsidP="007556A6">
            <w:pPr>
              <w:spacing w:after="0" w:line="240" w:lineRule="auto"/>
              <w:jc w:val="center"/>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Cs w:val="20"/>
                <w:lang w:eastAsia="es-ES"/>
              </w:rPr>
              <w:t>Total</w:t>
            </w:r>
          </w:p>
        </w:tc>
        <w:tc>
          <w:tcPr>
            <w:tcW w:w="14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129.643,04</w:t>
            </w:r>
          </w:p>
        </w:tc>
        <w:tc>
          <w:tcPr>
            <w:tcW w:w="1500" w:type="dxa"/>
            <w:tcBorders>
              <w:top w:val="single" w:sz="4" w:space="0" w:color="auto"/>
              <w:left w:val="nil"/>
              <w:bottom w:val="double" w:sz="6" w:space="0" w:color="auto"/>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2.384,93</w:t>
            </w:r>
          </w:p>
        </w:tc>
      </w:tr>
      <w:tr w:rsidR="007556A6" w:rsidRPr="007556A6" w:rsidTr="007556A6">
        <w:trPr>
          <w:trHeight w:val="315"/>
        </w:trPr>
        <w:tc>
          <w:tcPr>
            <w:tcW w:w="4340" w:type="dxa"/>
            <w:tcBorders>
              <w:top w:val="nil"/>
              <w:left w:val="nil"/>
              <w:bottom w:val="nil"/>
              <w:right w:val="nil"/>
            </w:tcBorders>
            <w:shd w:val="clear" w:color="auto" w:fill="auto"/>
            <w:noWrap/>
            <w:vAlign w:val="bottom"/>
            <w:hideMark/>
          </w:tcPr>
          <w:p w:rsidR="007556A6" w:rsidRDefault="007556A6" w:rsidP="007556A6">
            <w:pPr>
              <w:spacing w:after="0" w:line="240" w:lineRule="auto"/>
              <w:rPr>
                <w:rFonts w:ascii="Calibri" w:eastAsia="Times New Roman" w:hAnsi="Calibri" w:cs="Calibri"/>
                <w:color w:val="000000"/>
                <w:sz w:val="20"/>
                <w:szCs w:val="20"/>
                <w:lang w:eastAsia="es-ES"/>
              </w:rPr>
            </w:pPr>
          </w:p>
          <w:p w:rsidR="00234FE5" w:rsidRDefault="00234FE5" w:rsidP="007556A6">
            <w:pPr>
              <w:spacing w:after="0" w:line="240" w:lineRule="auto"/>
              <w:rPr>
                <w:rFonts w:ascii="Calibri" w:eastAsia="Times New Roman" w:hAnsi="Calibri" w:cs="Calibri"/>
                <w:color w:val="000000"/>
                <w:sz w:val="20"/>
                <w:szCs w:val="20"/>
                <w:lang w:eastAsia="es-ES"/>
              </w:rPr>
            </w:pPr>
          </w:p>
          <w:p w:rsidR="00234FE5" w:rsidRDefault="00234FE5" w:rsidP="007556A6">
            <w:pPr>
              <w:spacing w:after="0" w:line="240" w:lineRule="auto"/>
              <w:rPr>
                <w:rFonts w:ascii="Calibri" w:eastAsia="Times New Roman" w:hAnsi="Calibri" w:cs="Calibri"/>
                <w:color w:val="000000"/>
                <w:sz w:val="20"/>
                <w:szCs w:val="20"/>
                <w:lang w:eastAsia="es-ES"/>
              </w:rPr>
            </w:pPr>
          </w:p>
          <w:p w:rsidR="00234FE5" w:rsidRPr="007556A6" w:rsidRDefault="00234FE5" w:rsidP="007556A6">
            <w:pPr>
              <w:spacing w:after="0" w:line="240" w:lineRule="auto"/>
              <w:rPr>
                <w:rFonts w:ascii="Calibri" w:eastAsia="Times New Roman" w:hAnsi="Calibri" w:cs="Calibri"/>
                <w:color w:val="000000"/>
                <w:sz w:val="20"/>
                <w:szCs w:val="20"/>
                <w:lang w:eastAsia="es-ES"/>
              </w:rPr>
            </w:pPr>
          </w:p>
        </w:tc>
        <w:tc>
          <w:tcPr>
            <w:tcW w:w="1480" w:type="dxa"/>
            <w:tcBorders>
              <w:top w:val="nil"/>
              <w:left w:val="nil"/>
              <w:bottom w:val="nil"/>
              <w:right w:val="nil"/>
            </w:tcBorders>
            <w:shd w:val="clear" w:color="auto" w:fill="auto"/>
            <w:noWrap/>
            <w:vAlign w:val="bottom"/>
            <w:hideMark/>
          </w:tcPr>
          <w:p w:rsidR="007556A6" w:rsidRPr="007556A6" w:rsidRDefault="007556A6" w:rsidP="007556A6">
            <w:pPr>
              <w:spacing w:after="0" w:line="240" w:lineRule="auto"/>
              <w:rPr>
                <w:rFonts w:ascii="Calibri" w:eastAsia="Times New Roman" w:hAnsi="Calibri" w:cs="Calibri"/>
                <w:color w:val="000000"/>
                <w:sz w:val="20"/>
                <w:szCs w:val="20"/>
                <w:lang w:eastAsia="es-ES"/>
              </w:rPr>
            </w:pPr>
          </w:p>
        </w:tc>
        <w:tc>
          <w:tcPr>
            <w:tcW w:w="1500" w:type="dxa"/>
            <w:tcBorders>
              <w:top w:val="nil"/>
              <w:left w:val="nil"/>
              <w:bottom w:val="nil"/>
              <w:right w:val="nil"/>
            </w:tcBorders>
            <w:shd w:val="clear" w:color="auto" w:fill="auto"/>
            <w:noWrap/>
            <w:vAlign w:val="bottom"/>
            <w:hideMark/>
          </w:tcPr>
          <w:p w:rsidR="007556A6" w:rsidRPr="007556A6" w:rsidRDefault="007556A6" w:rsidP="007556A6">
            <w:pPr>
              <w:spacing w:after="0" w:line="240" w:lineRule="auto"/>
              <w:rPr>
                <w:rFonts w:ascii="Calibri" w:eastAsia="Times New Roman" w:hAnsi="Calibri" w:cs="Calibri"/>
                <w:color w:val="000000"/>
                <w:sz w:val="20"/>
                <w:szCs w:val="20"/>
                <w:lang w:eastAsia="es-ES"/>
              </w:rPr>
            </w:pPr>
          </w:p>
        </w:tc>
      </w:tr>
      <w:tr w:rsidR="007556A6" w:rsidRPr="007556A6" w:rsidTr="007556A6">
        <w:trPr>
          <w:trHeight w:val="315"/>
        </w:trPr>
        <w:tc>
          <w:tcPr>
            <w:tcW w:w="4340" w:type="dxa"/>
            <w:tcBorders>
              <w:top w:val="single" w:sz="4" w:space="0" w:color="auto"/>
              <w:left w:val="nil"/>
              <w:bottom w:val="double" w:sz="6" w:space="0" w:color="auto"/>
              <w:right w:val="nil"/>
            </w:tcBorders>
            <w:shd w:val="clear" w:color="000000" w:fill="BFBFBF"/>
            <w:noWrap/>
            <w:vAlign w:val="bottom"/>
            <w:hideMark/>
          </w:tcPr>
          <w:p w:rsidR="007556A6" w:rsidRPr="009B6971" w:rsidRDefault="007556A6" w:rsidP="007556A6">
            <w:pPr>
              <w:spacing w:after="0" w:line="240" w:lineRule="auto"/>
              <w:jc w:val="center"/>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Aplicación</w:t>
            </w:r>
          </w:p>
        </w:tc>
        <w:tc>
          <w:tcPr>
            <w:tcW w:w="1480"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7556A6" w:rsidRPr="009B6971" w:rsidRDefault="007556A6" w:rsidP="007556A6">
            <w:pPr>
              <w:spacing w:after="0" w:line="240" w:lineRule="auto"/>
              <w:jc w:val="center"/>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2.017</w:t>
            </w:r>
          </w:p>
        </w:tc>
        <w:tc>
          <w:tcPr>
            <w:tcW w:w="1500" w:type="dxa"/>
            <w:tcBorders>
              <w:top w:val="single" w:sz="4" w:space="0" w:color="auto"/>
              <w:left w:val="nil"/>
              <w:bottom w:val="double" w:sz="6" w:space="0" w:color="auto"/>
              <w:right w:val="single" w:sz="4" w:space="0" w:color="auto"/>
            </w:tcBorders>
            <w:shd w:val="clear" w:color="000000" w:fill="BFBFBF"/>
            <w:noWrap/>
            <w:vAlign w:val="bottom"/>
            <w:hideMark/>
          </w:tcPr>
          <w:p w:rsidR="007556A6" w:rsidRPr="009B6971" w:rsidRDefault="007556A6" w:rsidP="007556A6">
            <w:pPr>
              <w:spacing w:after="0" w:line="240" w:lineRule="auto"/>
              <w:jc w:val="center"/>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2.016</w:t>
            </w:r>
          </w:p>
        </w:tc>
      </w:tr>
      <w:tr w:rsidR="007556A6" w:rsidRPr="009B6971" w:rsidTr="007556A6">
        <w:trPr>
          <w:trHeight w:val="405"/>
        </w:trPr>
        <w:tc>
          <w:tcPr>
            <w:tcW w:w="4340" w:type="dxa"/>
            <w:tcBorders>
              <w:top w:val="nil"/>
              <w:left w:val="nil"/>
              <w:bottom w:val="nil"/>
              <w:right w:val="nil"/>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A  Reserva Legal</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5.844,42</w:t>
            </w:r>
          </w:p>
        </w:tc>
        <w:tc>
          <w:tcPr>
            <w:tcW w:w="1500" w:type="dxa"/>
            <w:tcBorders>
              <w:top w:val="nil"/>
              <w:left w:val="nil"/>
              <w:bottom w:val="nil"/>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238,49</w:t>
            </w:r>
          </w:p>
        </w:tc>
      </w:tr>
      <w:tr w:rsidR="007556A6" w:rsidRPr="009B6971" w:rsidTr="007556A6">
        <w:trPr>
          <w:trHeight w:val="300"/>
        </w:trPr>
        <w:tc>
          <w:tcPr>
            <w:tcW w:w="4340" w:type="dxa"/>
            <w:tcBorders>
              <w:top w:val="nil"/>
              <w:left w:val="nil"/>
              <w:bottom w:val="nil"/>
              <w:right w:val="nil"/>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A  Reservas Especiales</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c>
          <w:tcPr>
            <w:tcW w:w="1500" w:type="dxa"/>
            <w:tcBorders>
              <w:top w:val="nil"/>
              <w:left w:val="nil"/>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r>
      <w:tr w:rsidR="007556A6" w:rsidRPr="009B6971" w:rsidTr="007556A6">
        <w:trPr>
          <w:trHeight w:val="300"/>
        </w:trPr>
        <w:tc>
          <w:tcPr>
            <w:tcW w:w="4340" w:type="dxa"/>
            <w:tcBorders>
              <w:top w:val="nil"/>
              <w:left w:val="nil"/>
              <w:bottom w:val="nil"/>
              <w:right w:val="nil"/>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A  Reservas Voluntarias</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123.798,62</w:t>
            </w:r>
          </w:p>
        </w:tc>
        <w:tc>
          <w:tcPr>
            <w:tcW w:w="1500" w:type="dxa"/>
            <w:tcBorders>
              <w:top w:val="nil"/>
              <w:left w:val="nil"/>
              <w:bottom w:val="nil"/>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2.146,44</w:t>
            </w:r>
          </w:p>
        </w:tc>
      </w:tr>
      <w:tr w:rsidR="007556A6" w:rsidRPr="009B6971" w:rsidTr="007556A6">
        <w:trPr>
          <w:trHeight w:val="300"/>
        </w:trPr>
        <w:tc>
          <w:tcPr>
            <w:tcW w:w="4340" w:type="dxa"/>
            <w:tcBorders>
              <w:top w:val="nil"/>
              <w:left w:val="nil"/>
              <w:bottom w:val="nil"/>
              <w:right w:val="nil"/>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A  Dividendos</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c>
          <w:tcPr>
            <w:tcW w:w="1500" w:type="dxa"/>
            <w:tcBorders>
              <w:top w:val="nil"/>
              <w:left w:val="nil"/>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r>
      <w:tr w:rsidR="007556A6" w:rsidRPr="009B6971" w:rsidTr="007556A6">
        <w:trPr>
          <w:trHeight w:val="300"/>
        </w:trPr>
        <w:tc>
          <w:tcPr>
            <w:tcW w:w="4340" w:type="dxa"/>
            <w:tcBorders>
              <w:top w:val="nil"/>
              <w:left w:val="nil"/>
              <w:bottom w:val="nil"/>
              <w:right w:val="nil"/>
            </w:tcBorders>
            <w:shd w:val="clear" w:color="auto" w:fill="auto"/>
            <w:noWrap/>
            <w:vAlign w:val="bottom"/>
            <w:hideMark/>
          </w:tcPr>
          <w:p w:rsidR="007556A6" w:rsidRPr="009B6971" w:rsidRDefault="007556A6" w:rsidP="009B6971">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A Compensación Pérdidas Ejerc</w:t>
            </w:r>
            <w:r w:rsidR="009B6971" w:rsidRPr="009B6971">
              <w:rPr>
                <w:rFonts w:ascii="Calibri" w:eastAsia="Times New Roman" w:hAnsi="Calibri" w:cs="Calibri"/>
                <w:color w:val="000000"/>
                <w:szCs w:val="20"/>
                <w:lang w:eastAsia="es-ES"/>
              </w:rPr>
              <w:t>icios</w:t>
            </w:r>
            <w:r w:rsidRPr="009B6971">
              <w:rPr>
                <w:rFonts w:ascii="Calibri" w:eastAsia="Times New Roman" w:hAnsi="Calibri" w:cs="Calibri"/>
                <w:color w:val="000000"/>
                <w:szCs w:val="20"/>
                <w:lang w:eastAsia="es-ES"/>
              </w:rPr>
              <w:t xml:space="preserve"> Anteriores</w:t>
            </w:r>
          </w:p>
        </w:tc>
        <w:tc>
          <w:tcPr>
            <w:tcW w:w="1480" w:type="dxa"/>
            <w:tcBorders>
              <w:top w:val="nil"/>
              <w:left w:val="single" w:sz="4" w:space="0" w:color="auto"/>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c>
          <w:tcPr>
            <w:tcW w:w="1500" w:type="dxa"/>
            <w:tcBorders>
              <w:top w:val="nil"/>
              <w:left w:val="nil"/>
              <w:bottom w:val="nil"/>
              <w:right w:val="single" w:sz="4" w:space="0" w:color="auto"/>
            </w:tcBorders>
            <w:shd w:val="clear" w:color="auto" w:fill="auto"/>
            <w:noWrap/>
            <w:vAlign w:val="bottom"/>
            <w:hideMark/>
          </w:tcPr>
          <w:p w:rsidR="007556A6" w:rsidRPr="009B6971" w:rsidRDefault="007556A6" w:rsidP="007556A6">
            <w:pPr>
              <w:spacing w:after="0" w:line="240" w:lineRule="auto"/>
              <w:rPr>
                <w:rFonts w:ascii="Calibri" w:eastAsia="Times New Roman" w:hAnsi="Calibri" w:cs="Calibri"/>
                <w:color w:val="000000"/>
                <w:szCs w:val="20"/>
                <w:lang w:eastAsia="es-ES"/>
              </w:rPr>
            </w:pPr>
            <w:r w:rsidRPr="009B6971">
              <w:rPr>
                <w:rFonts w:ascii="Calibri" w:eastAsia="Times New Roman" w:hAnsi="Calibri" w:cs="Calibri"/>
                <w:color w:val="000000"/>
                <w:szCs w:val="20"/>
                <w:lang w:eastAsia="es-ES"/>
              </w:rPr>
              <w:t> </w:t>
            </w:r>
          </w:p>
        </w:tc>
      </w:tr>
      <w:tr w:rsidR="007556A6" w:rsidRPr="007556A6" w:rsidTr="007556A6">
        <w:trPr>
          <w:trHeight w:val="405"/>
        </w:trPr>
        <w:tc>
          <w:tcPr>
            <w:tcW w:w="4340" w:type="dxa"/>
            <w:tcBorders>
              <w:top w:val="single" w:sz="4" w:space="0" w:color="auto"/>
              <w:left w:val="nil"/>
              <w:bottom w:val="double" w:sz="6" w:space="0" w:color="auto"/>
              <w:right w:val="nil"/>
            </w:tcBorders>
            <w:shd w:val="clear" w:color="auto" w:fill="auto"/>
            <w:noWrap/>
            <w:vAlign w:val="bottom"/>
            <w:hideMark/>
          </w:tcPr>
          <w:p w:rsidR="007556A6" w:rsidRPr="007556A6" w:rsidRDefault="007556A6" w:rsidP="007556A6">
            <w:pPr>
              <w:spacing w:after="0" w:line="240" w:lineRule="auto"/>
              <w:jc w:val="center"/>
              <w:rPr>
                <w:rFonts w:ascii="Calibri" w:eastAsia="Times New Roman" w:hAnsi="Calibri" w:cs="Calibri"/>
                <w:b/>
                <w:bCs/>
                <w:color w:val="000000"/>
                <w:sz w:val="20"/>
                <w:szCs w:val="20"/>
                <w:lang w:eastAsia="es-ES"/>
              </w:rPr>
            </w:pPr>
            <w:r w:rsidRPr="009B6971">
              <w:rPr>
                <w:rFonts w:ascii="Calibri" w:eastAsia="Times New Roman" w:hAnsi="Calibri" w:cs="Calibri"/>
                <w:b/>
                <w:bCs/>
                <w:color w:val="000000"/>
                <w:szCs w:val="20"/>
                <w:lang w:eastAsia="es-ES"/>
              </w:rPr>
              <w:t>Total</w:t>
            </w:r>
          </w:p>
        </w:tc>
        <w:tc>
          <w:tcPr>
            <w:tcW w:w="14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129.643,04</w:t>
            </w:r>
          </w:p>
        </w:tc>
        <w:tc>
          <w:tcPr>
            <w:tcW w:w="1500" w:type="dxa"/>
            <w:tcBorders>
              <w:top w:val="single" w:sz="4" w:space="0" w:color="auto"/>
              <w:left w:val="nil"/>
              <w:bottom w:val="double" w:sz="6" w:space="0" w:color="auto"/>
              <w:right w:val="single" w:sz="4" w:space="0" w:color="auto"/>
            </w:tcBorders>
            <w:shd w:val="clear" w:color="auto" w:fill="auto"/>
            <w:noWrap/>
            <w:vAlign w:val="bottom"/>
            <w:hideMark/>
          </w:tcPr>
          <w:p w:rsidR="007556A6" w:rsidRPr="009B6971" w:rsidRDefault="007556A6" w:rsidP="007556A6">
            <w:pPr>
              <w:spacing w:after="0" w:line="240" w:lineRule="auto"/>
              <w:jc w:val="right"/>
              <w:rPr>
                <w:rFonts w:ascii="Calibri" w:eastAsia="Times New Roman" w:hAnsi="Calibri" w:cs="Calibri"/>
                <w:b/>
                <w:bCs/>
                <w:color w:val="000000"/>
                <w:szCs w:val="20"/>
                <w:lang w:eastAsia="es-ES"/>
              </w:rPr>
            </w:pPr>
            <w:r w:rsidRPr="009B6971">
              <w:rPr>
                <w:rFonts w:ascii="Calibri" w:eastAsia="Times New Roman" w:hAnsi="Calibri" w:cs="Calibri"/>
                <w:b/>
                <w:bCs/>
                <w:color w:val="000000"/>
                <w:szCs w:val="20"/>
                <w:lang w:eastAsia="es-ES"/>
              </w:rPr>
              <w:t>2.384,93</w:t>
            </w:r>
          </w:p>
        </w:tc>
      </w:tr>
    </w:tbl>
    <w:p w:rsidR="007556A6" w:rsidRPr="00232CCE" w:rsidRDefault="007556A6" w:rsidP="007556A6">
      <w:pPr>
        <w:jc w:val="both"/>
        <w:rPr>
          <w:u w:val="single"/>
        </w:rPr>
      </w:pPr>
    </w:p>
    <w:p w:rsidR="007556A6" w:rsidRPr="007556A6" w:rsidRDefault="007556A6" w:rsidP="00AA4BAA">
      <w:pPr>
        <w:rPr>
          <w:sz w:val="10"/>
        </w:rPr>
      </w:pPr>
    </w:p>
    <w:p w:rsidR="00232CCE" w:rsidRPr="00232CCE" w:rsidRDefault="00232CCE" w:rsidP="00232CCE">
      <w:pPr>
        <w:jc w:val="both"/>
        <w:rPr>
          <w:u w:val="single"/>
        </w:rPr>
      </w:pPr>
      <w:r>
        <w:rPr>
          <w:u w:val="single"/>
        </w:rPr>
        <w:t>Hechos relevantes ocurridos después del cierre del ejercicio</w:t>
      </w:r>
    </w:p>
    <w:p w:rsidR="00232CCE" w:rsidRDefault="00232CCE" w:rsidP="00232CCE">
      <w:pPr>
        <w:jc w:val="both"/>
      </w:pPr>
      <w:r w:rsidRPr="00536B73">
        <w:t xml:space="preserve">No se han producido acontecimientos relevantes después del cierre del ejercicio que deban reflejarse en esta memoria. </w:t>
      </w:r>
    </w:p>
    <w:p w:rsidR="00232CCE" w:rsidRPr="007556A6" w:rsidRDefault="00232CCE" w:rsidP="00232CCE">
      <w:pPr>
        <w:jc w:val="both"/>
        <w:rPr>
          <w:sz w:val="12"/>
          <w:u w:val="single"/>
        </w:rPr>
      </w:pPr>
    </w:p>
    <w:p w:rsidR="00232CCE" w:rsidRPr="00232CCE" w:rsidRDefault="00232CCE" w:rsidP="00232CCE">
      <w:pPr>
        <w:jc w:val="both"/>
        <w:rPr>
          <w:u w:val="single"/>
        </w:rPr>
      </w:pPr>
      <w:r w:rsidRPr="00232CCE">
        <w:rPr>
          <w:u w:val="single"/>
        </w:rPr>
        <w:t xml:space="preserve">Información sobre medio ambiente </w:t>
      </w:r>
    </w:p>
    <w:p w:rsidR="00232CCE" w:rsidRPr="00232CCE" w:rsidRDefault="00232CCE" w:rsidP="00232CCE">
      <w:pPr>
        <w:autoSpaceDE w:val="0"/>
        <w:autoSpaceDN w:val="0"/>
        <w:adjustRightInd w:val="0"/>
        <w:spacing w:after="0" w:line="240" w:lineRule="auto"/>
        <w:rPr>
          <w:sz w:val="16"/>
        </w:rPr>
      </w:pPr>
    </w:p>
    <w:p w:rsidR="00232CCE" w:rsidRPr="00232CCE" w:rsidRDefault="00232CCE" w:rsidP="00232CCE">
      <w:pPr>
        <w:jc w:val="both"/>
      </w:pPr>
      <w:r w:rsidRPr="00232CCE">
        <w:t>Los abajo firmantes, como Administradores de la Sociedad citada, manifiestan que en la contabilidad correspondiente a las presentes cuentas anuales NO existe ninguna partida de naturaleza medioambiental que deba ser incluida en la Memoria de acuerdo a las indicaciones de la tercera parte del Plan General de Contabilidad (Real Decreto 1514/2007, de 16 de Noviembre).</w:t>
      </w:r>
    </w:p>
    <w:p w:rsidR="00232CCE" w:rsidRPr="007556A6" w:rsidRDefault="00232CCE" w:rsidP="00232CCE">
      <w:pPr>
        <w:jc w:val="both"/>
        <w:rPr>
          <w:sz w:val="16"/>
          <w:u w:val="single"/>
        </w:rPr>
      </w:pPr>
    </w:p>
    <w:p w:rsidR="00232CCE" w:rsidRPr="00232CCE" w:rsidRDefault="00232CCE" w:rsidP="00232CCE">
      <w:pPr>
        <w:jc w:val="both"/>
        <w:rPr>
          <w:u w:val="single"/>
        </w:rPr>
      </w:pPr>
      <w:r>
        <w:rPr>
          <w:u w:val="single"/>
        </w:rPr>
        <w:t>Información sobre derechos de emisión de gases</w:t>
      </w:r>
    </w:p>
    <w:p w:rsidR="00232CCE" w:rsidRDefault="00232CCE" w:rsidP="00232CCE">
      <w:pPr>
        <w:jc w:val="both"/>
      </w:pPr>
      <w:r w:rsidRPr="00536B73">
        <w:t xml:space="preserve">Por el ámbito en el que la empresa desarrolla su actividad no es necesario informar sobre los derechos de emisión de gases de efecto invernadero. </w:t>
      </w:r>
    </w:p>
    <w:p w:rsidR="00822973" w:rsidRDefault="00822973" w:rsidP="001E5679">
      <w:pPr>
        <w:jc w:val="both"/>
      </w:pPr>
    </w:p>
    <w:p w:rsidR="00A73249" w:rsidRDefault="00A73249" w:rsidP="001E5679">
      <w:pPr>
        <w:jc w:val="both"/>
      </w:pPr>
    </w:p>
    <w:p w:rsidR="00A73249" w:rsidRDefault="00A73249" w:rsidP="001E5679">
      <w:pPr>
        <w:jc w:val="both"/>
      </w:pPr>
    </w:p>
    <w:p w:rsidR="00234FE5" w:rsidRDefault="00234FE5" w:rsidP="001E5679">
      <w:pPr>
        <w:jc w:val="both"/>
      </w:pPr>
    </w:p>
    <w:p w:rsidR="00234FE5" w:rsidRDefault="00234FE5" w:rsidP="001E5679">
      <w:pPr>
        <w:jc w:val="both"/>
      </w:pPr>
    </w:p>
    <w:p w:rsidR="00234FE5" w:rsidRDefault="00234FE5" w:rsidP="001E5679">
      <w:pPr>
        <w:jc w:val="both"/>
      </w:pPr>
    </w:p>
    <w:p w:rsidR="00234FE5" w:rsidRDefault="00234FE5" w:rsidP="001E5679">
      <w:pPr>
        <w:jc w:val="both"/>
      </w:pPr>
    </w:p>
    <w:p w:rsidR="00234FE5" w:rsidRDefault="00234FE5" w:rsidP="001E5679">
      <w:pPr>
        <w:jc w:val="both"/>
      </w:pPr>
    </w:p>
    <w:p w:rsidR="00234FE5" w:rsidRDefault="00234FE5" w:rsidP="001E5679">
      <w:pPr>
        <w:jc w:val="both"/>
      </w:pPr>
    </w:p>
    <w:p w:rsidR="00A73249" w:rsidRDefault="00A73249" w:rsidP="001E5679">
      <w:pPr>
        <w:jc w:val="both"/>
      </w:pPr>
    </w:p>
    <w:tbl>
      <w:tblPr>
        <w:tblW w:w="7792" w:type="dxa"/>
        <w:tblInd w:w="75" w:type="dxa"/>
        <w:tblCellMar>
          <w:left w:w="70" w:type="dxa"/>
          <w:right w:w="70" w:type="dxa"/>
        </w:tblCellMar>
        <w:tblLook w:val="04A0"/>
      </w:tblPr>
      <w:tblGrid>
        <w:gridCol w:w="4390"/>
        <w:gridCol w:w="3402"/>
      </w:tblGrid>
      <w:tr w:rsidR="00267FA2" w:rsidRPr="00267FA2" w:rsidTr="00267FA2">
        <w:trPr>
          <w:trHeight w:val="1002"/>
        </w:trPr>
        <w:tc>
          <w:tcPr>
            <w:tcW w:w="7792" w:type="dxa"/>
            <w:gridSpan w:val="2"/>
            <w:tcBorders>
              <w:top w:val="single" w:sz="4" w:space="0" w:color="auto"/>
              <w:left w:val="nil"/>
              <w:bottom w:val="single" w:sz="4" w:space="0" w:color="auto"/>
              <w:right w:val="nil"/>
            </w:tcBorders>
            <w:shd w:val="clear" w:color="000000" w:fill="BFBFBF"/>
            <w:vAlign w:val="bottom"/>
            <w:hideMark/>
          </w:tcPr>
          <w:p w:rsidR="00267FA2" w:rsidRPr="00267FA2" w:rsidRDefault="00267FA2" w:rsidP="002D55DA">
            <w:pPr>
              <w:spacing w:after="0" w:line="240" w:lineRule="auto"/>
              <w:jc w:val="center"/>
              <w:rPr>
                <w:rFonts w:ascii="Calibri" w:eastAsia="Times New Roman" w:hAnsi="Calibri" w:cs="Times New Roman"/>
                <w:b/>
                <w:bCs/>
                <w:color w:val="000000"/>
                <w:sz w:val="24"/>
                <w:szCs w:val="24"/>
                <w:lang w:eastAsia="es-ES"/>
              </w:rPr>
            </w:pPr>
            <w:r w:rsidRPr="00267FA2">
              <w:rPr>
                <w:rFonts w:ascii="Calibri" w:eastAsia="Times New Roman" w:hAnsi="Calibri" w:cs="Times New Roman"/>
                <w:b/>
                <w:bCs/>
                <w:color w:val="000000"/>
                <w:sz w:val="24"/>
                <w:szCs w:val="24"/>
                <w:lang w:eastAsia="es-ES"/>
              </w:rPr>
              <w:lastRenderedPageBreak/>
              <w:t xml:space="preserve">MEMORIA Y CUENTAS ANUALES DE 2017 FORMULADAS POR </w:t>
            </w:r>
            <w:r w:rsidR="002D55DA">
              <w:rPr>
                <w:rFonts w:ascii="Calibri" w:eastAsia="Times New Roman" w:hAnsi="Calibri" w:cs="Times New Roman"/>
                <w:b/>
                <w:bCs/>
                <w:color w:val="000000"/>
                <w:sz w:val="24"/>
                <w:szCs w:val="24"/>
                <w:lang w:eastAsia="es-ES"/>
              </w:rPr>
              <w:t>el</w:t>
            </w:r>
            <w:r w:rsidRPr="00267FA2">
              <w:rPr>
                <w:rFonts w:ascii="Calibri" w:eastAsia="Times New Roman" w:hAnsi="Calibri" w:cs="Times New Roman"/>
                <w:b/>
                <w:bCs/>
                <w:color w:val="000000"/>
                <w:sz w:val="24"/>
                <w:szCs w:val="24"/>
                <w:lang w:eastAsia="es-ES"/>
              </w:rPr>
              <w:t xml:space="preserve"> Inst. Volcanológico de Canarias, S.A.U. EL   </w:t>
            </w:r>
            <w:r w:rsidR="002D55DA">
              <w:rPr>
                <w:rFonts w:ascii="Calibri" w:eastAsia="Times New Roman" w:hAnsi="Calibri" w:cs="Times New Roman"/>
                <w:b/>
                <w:bCs/>
                <w:color w:val="000000"/>
                <w:sz w:val="24"/>
                <w:szCs w:val="24"/>
                <w:lang w:eastAsia="es-ES"/>
              </w:rPr>
              <w:t>23</w:t>
            </w:r>
            <w:r w:rsidRPr="00267FA2">
              <w:rPr>
                <w:rFonts w:ascii="Calibri" w:eastAsia="Times New Roman" w:hAnsi="Calibri" w:cs="Times New Roman"/>
                <w:b/>
                <w:bCs/>
                <w:color w:val="000000"/>
                <w:sz w:val="24"/>
                <w:szCs w:val="24"/>
                <w:lang w:eastAsia="es-ES"/>
              </w:rPr>
              <w:t>/</w:t>
            </w:r>
            <w:r w:rsidR="002D55DA">
              <w:rPr>
                <w:rFonts w:ascii="Calibri" w:eastAsia="Times New Roman" w:hAnsi="Calibri" w:cs="Times New Roman"/>
                <w:b/>
                <w:bCs/>
                <w:color w:val="000000"/>
                <w:sz w:val="24"/>
                <w:szCs w:val="24"/>
                <w:lang w:eastAsia="es-ES"/>
              </w:rPr>
              <w:t>03</w:t>
            </w:r>
            <w:r w:rsidRPr="00267FA2">
              <w:rPr>
                <w:rFonts w:ascii="Calibri" w:eastAsia="Times New Roman" w:hAnsi="Calibri" w:cs="Times New Roman"/>
                <w:b/>
                <w:bCs/>
                <w:color w:val="000000"/>
                <w:sz w:val="24"/>
                <w:szCs w:val="24"/>
                <w:lang w:eastAsia="es-ES"/>
              </w:rPr>
              <w:t>/2018</w:t>
            </w:r>
          </w:p>
        </w:tc>
      </w:tr>
      <w:tr w:rsidR="00267FA2" w:rsidRPr="00267FA2" w:rsidTr="00267FA2">
        <w:trPr>
          <w:trHeight w:val="100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D. Carlos Enrique Alonso Rodríguez</w:t>
            </w:r>
          </w:p>
        </w:tc>
        <w:tc>
          <w:tcPr>
            <w:tcW w:w="3402" w:type="dxa"/>
            <w:tcBorders>
              <w:top w:val="nil"/>
              <w:left w:val="nil"/>
              <w:bottom w:val="single" w:sz="4" w:space="0" w:color="auto"/>
              <w:right w:val="single" w:sz="4" w:space="0" w:color="auto"/>
            </w:tcBorders>
            <w:shd w:val="clear" w:color="auto" w:fill="auto"/>
            <w:noWrap/>
            <w:vAlign w:val="bottom"/>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 </w:t>
            </w:r>
          </w:p>
        </w:tc>
      </w:tr>
      <w:tr w:rsidR="00267FA2" w:rsidRPr="00267FA2" w:rsidTr="00267FA2">
        <w:trPr>
          <w:trHeight w:val="100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D. Eduardo Ballesteros Ruíz-Benítez de Lugo</w:t>
            </w:r>
          </w:p>
        </w:tc>
        <w:tc>
          <w:tcPr>
            <w:tcW w:w="3402" w:type="dxa"/>
            <w:tcBorders>
              <w:top w:val="nil"/>
              <w:left w:val="nil"/>
              <w:bottom w:val="single" w:sz="4" w:space="0" w:color="auto"/>
              <w:right w:val="single" w:sz="4" w:space="0" w:color="auto"/>
            </w:tcBorders>
            <w:shd w:val="clear" w:color="auto" w:fill="auto"/>
            <w:noWrap/>
            <w:vAlign w:val="bottom"/>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 </w:t>
            </w:r>
          </w:p>
        </w:tc>
      </w:tr>
      <w:tr w:rsidR="00267FA2" w:rsidRPr="00267FA2" w:rsidTr="00267FA2">
        <w:trPr>
          <w:trHeight w:val="100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D. Antonio Miguel García Marichal</w:t>
            </w:r>
          </w:p>
        </w:tc>
        <w:tc>
          <w:tcPr>
            <w:tcW w:w="3402" w:type="dxa"/>
            <w:tcBorders>
              <w:top w:val="nil"/>
              <w:left w:val="nil"/>
              <w:bottom w:val="single" w:sz="4" w:space="0" w:color="auto"/>
              <w:right w:val="single" w:sz="4" w:space="0" w:color="auto"/>
            </w:tcBorders>
            <w:shd w:val="clear" w:color="auto" w:fill="auto"/>
            <w:noWrap/>
            <w:vAlign w:val="bottom"/>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 </w:t>
            </w:r>
          </w:p>
        </w:tc>
      </w:tr>
      <w:tr w:rsidR="00267FA2" w:rsidRPr="00267FA2" w:rsidTr="00267FA2">
        <w:trPr>
          <w:trHeight w:val="100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D. Manuel Cendagorta-Galarza López</w:t>
            </w:r>
          </w:p>
        </w:tc>
        <w:tc>
          <w:tcPr>
            <w:tcW w:w="3402" w:type="dxa"/>
            <w:tcBorders>
              <w:top w:val="nil"/>
              <w:left w:val="nil"/>
              <w:bottom w:val="single" w:sz="4" w:space="0" w:color="auto"/>
              <w:right w:val="single" w:sz="4" w:space="0" w:color="auto"/>
            </w:tcBorders>
            <w:shd w:val="clear" w:color="auto" w:fill="auto"/>
            <w:noWrap/>
            <w:vAlign w:val="bottom"/>
            <w:hideMark/>
          </w:tcPr>
          <w:p w:rsidR="00267FA2" w:rsidRPr="00267FA2" w:rsidRDefault="00267FA2" w:rsidP="00267FA2">
            <w:pPr>
              <w:spacing w:after="0" w:line="240" w:lineRule="auto"/>
              <w:rPr>
                <w:rFonts w:ascii="Calibri" w:eastAsia="Times New Roman" w:hAnsi="Calibri" w:cs="Times New Roman"/>
                <w:color w:val="000000"/>
                <w:lang w:eastAsia="es-ES"/>
              </w:rPr>
            </w:pPr>
            <w:r w:rsidRPr="00267FA2">
              <w:rPr>
                <w:rFonts w:ascii="Calibri" w:eastAsia="Times New Roman" w:hAnsi="Calibri" w:cs="Times New Roman"/>
                <w:color w:val="000000"/>
                <w:lang w:eastAsia="es-ES"/>
              </w:rPr>
              <w:t> </w:t>
            </w:r>
          </w:p>
        </w:tc>
      </w:tr>
    </w:tbl>
    <w:p w:rsidR="00270482" w:rsidRDefault="00270482" w:rsidP="00881777">
      <w:pPr>
        <w:jc w:val="both"/>
      </w:pPr>
    </w:p>
    <w:sectPr w:rsidR="00270482" w:rsidSect="008E3A86">
      <w:footerReference w:type="default" r:id="rId8"/>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BB" w:rsidRDefault="00306EBB" w:rsidP="009254FA">
      <w:pPr>
        <w:spacing w:after="0" w:line="240" w:lineRule="auto"/>
      </w:pPr>
      <w:r>
        <w:separator/>
      </w:r>
    </w:p>
  </w:endnote>
  <w:endnote w:type="continuationSeparator" w:id="0">
    <w:p w:rsidR="00306EBB" w:rsidRDefault="00306EBB" w:rsidP="0092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BB" w:rsidRDefault="00306EBB">
    <w:pPr>
      <w:pStyle w:val="Piedepgina"/>
      <w:pBdr>
        <w:bottom w:val="single" w:sz="6" w:space="1" w:color="auto"/>
      </w:pBdr>
      <w:jc w:val="right"/>
    </w:pPr>
  </w:p>
  <w:p w:rsidR="00306EBB" w:rsidRDefault="00306EBB">
    <w:pPr>
      <w:pStyle w:val="Piedepgina"/>
      <w:jc w:val="right"/>
    </w:pPr>
  </w:p>
  <w:p w:rsidR="00306EBB" w:rsidRDefault="00306EBB">
    <w:pPr>
      <w:pStyle w:val="Piedepgina"/>
      <w:jc w:val="right"/>
    </w:pPr>
    <w:r>
      <w:t xml:space="preserve">Instituto Volcanológico de Canarias, S.A.U.  2017                                               </w:t>
    </w:r>
    <w:sdt>
      <w:sdtPr>
        <w:id w:val="-1818639306"/>
        <w:docPartObj>
          <w:docPartGallery w:val="Page Numbers (Bottom of Page)"/>
          <w:docPartUnique/>
        </w:docPartObj>
      </w:sdtPr>
      <w:sdtContent>
        <w:fldSimple w:instr="PAGE   \* MERGEFORMAT">
          <w:r w:rsidR="002D55DA">
            <w:rPr>
              <w:noProof/>
            </w:rPr>
            <w:t>27</w:t>
          </w:r>
        </w:fldSimple>
      </w:sdtContent>
    </w:sdt>
  </w:p>
  <w:p w:rsidR="00306EBB" w:rsidRDefault="00306E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BB" w:rsidRDefault="00306EBB" w:rsidP="009254FA">
      <w:pPr>
        <w:spacing w:after="0" w:line="240" w:lineRule="auto"/>
      </w:pPr>
      <w:r>
        <w:separator/>
      </w:r>
    </w:p>
  </w:footnote>
  <w:footnote w:type="continuationSeparator" w:id="0">
    <w:p w:rsidR="00306EBB" w:rsidRDefault="00306EBB" w:rsidP="00925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284"/>
    <w:multiLevelType w:val="hybridMultilevel"/>
    <w:tmpl w:val="28C6B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E3245F"/>
    <w:multiLevelType w:val="multilevel"/>
    <w:tmpl w:val="28A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910A7"/>
    <w:multiLevelType w:val="hybridMultilevel"/>
    <w:tmpl w:val="799CC904"/>
    <w:lvl w:ilvl="0" w:tplc="0908D068">
      <w:numFmt w:val="bullet"/>
      <w:lvlText w:val="-"/>
      <w:lvlJc w:val="left"/>
      <w:pPr>
        <w:tabs>
          <w:tab w:val="num" w:pos="5606"/>
        </w:tabs>
        <w:ind w:left="5606" w:hanging="360"/>
      </w:pPr>
      <w:rPr>
        <w:rFonts w:ascii="Arial" w:eastAsia="Times New Roman" w:hAnsi="Arial" w:cs="Times New Roman" w:hint="default"/>
      </w:rPr>
    </w:lvl>
    <w:lvl w:ilvl="1" w:tplc="0908D068">
      <w:numFmt w:val="bullet"/>
      <w:lvlText w:val="-"/>
      <w:lvlJc w:val="left"/>
      <w:pPr>
        <w:tabs>
          <w:tab w:val="num" w:pos="-1252"/>
        </w:tabs>
        <w:ind w:left="-1252" w:hanging="360"/>
      </w:pPr>
      <w:rPr>
        <w:rFonts w:ascii="Arial" w:eastAsia="Times New Roman" w:hAnsi="Arial" w:cs="Times New Roman" w:hint="default"/>
      </w:r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188"/>
        </w:tabs>
        <w:ind w:left="188"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56144DA"/>
    <w:multiLevelType w:val="hybridMultilevel"/>
    <w:tmpl w:val="526C5810"/>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781388B"/>
    <w:multiLevelType w:val="hybridMultilevel"/>
    <w:tmpl w:val="EB5CB80A"/>
    <w:lvl w:ilvl="0" w:tplc="0908D068">
      <w:numFmt w:val="bullet"/>
      <w:lvlText w:val="-"/>
      <w:lvlJc w:val="left"/>
      <w:pPr>
        <w:ind w:left="1146"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61A82B3A"/>
    <w:multiLevelType w:val="hybridMultilevel"/>
    <w:tmpl w:val="3B42A52E"/>
    <w:lvl w:ilvl="0" w:tplc="A7A2807A">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5A08B6"/>
    <w:multiLevelType w:val="hybridMultilevel"/>
    <w:tmpl w:val="D4C64568"/>
    <w:lvl w:ilvl="0" w:tplc="22CC7774">
      <w:numFmt w:val="bullet"/>
      <w:lvlText w:val="-"/>
      <w:lvlJc w:val="left"/>
      <w:pPr>
        <w:ind w:left="1200" w:hanging="360"/>
      </w:pPr>
      <w:rPr>
        <w:rFonts w:ascii="Times New Roman" w:eastAsiaTheme="minorHAnsi" w:hAnsi="Times New Roman" w:cs="Times New Roman" w:hint="default"/>
        <w:b/>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nsid w:val="78BF79D5"/>
    <w:multiLevelType w:val="hybridMultilevel"/>
    <w:tmpl w:val="FA40FA74"/>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AE61BD9"/>
    <w:multiLevelType w:val="hybridMultilevel"/>
    <w:tmpl w:val="CD18C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F24830"/>
    <w:multiLevelType w:val="hybridMultilevel"/>
    <w:tmpl w:val="361666EC"/>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cs="Times New Roman"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330822"/>
    <w:rsid w:val="00000930"/>
    <w:rsid w:val="0000464C"/>
    <w:rsid w:val="000058F3"/>
    <w:rsid w:val="00007B11"/>
    <w:rsid w:val="000502A6"/>
    <w:rsid w:val="00053698"/>
    <w:rsid w:val="00060C0E"/>
    <w:rsid w:val="000B4FBA"/>
    <w:rsid w:val="000D026D"/>
    <w:rsid w:val="000D7C13"/>
    <w:rsid w:val="000E45CC"/>
    <w:rsid w:val="000F2CAD"/>
    <w:rsid w:val="00106A87"/>
    <w:rsid w:val="0011179B"/>
    <w:rsid w:val="0013089F"/>
    <w:rsid w:val="00142B14"/>
    <w:rsid w:val="00176CFA"/>
    <w:rsid w:val="00184537"/>
    <w:rsid w:val="00185516"/>
    <w:rsid w:val="00186802"/>
    <w:rsid w:val="001D7F29"/>
    <w:rsid w:val="001E5549"/>
    <w:rsid w:val="001E5679"/>
    <w:rsid w:val="001F5CDD"/>
    <w:rsid w:val="00232CCE"/>
    <w:rsid w:val="00234FE5"/>
    <w:rsid w:val="00267317"/>
    <w:rsid w:val="00267FA2"/>
    <w:rsid w:val="00270482"/>
    <w:rsid w:val="002709D8"/>
    <w:rsid w:val="0028432E"/>
    <w:rsid w:val="00292785"/>
    <w:rsid w:val="002A1C49"/>
    <w:rsid w:val="002A3B07"/>
    <w:rsid w:val="002D04F0"/>
    <w:rsid w:val="002D4834"/>
    <w:rsid w:val="002D55DA"/>
    <w:rsid w:val="002E0B07"/>
    <w:rsid w:val="002E6A77"/>
    <w:rsid w:val="00306EBB"/>
    <w:rsid w:val="00310282"/>
    <w:rsid w:val="00330822"/>
    <w:rsid w:val="0034731E"/>
    <w:rsid w:val="00362031"/>
    <w:rsid w:val="003E43E5"/>
    <w:rsid w:val="003E5751"/>
    <w:rsid w:val="003E7459"/>
    <w:rsid w:val="00427356"/>
    <w:rsid w:val="00427B19"/>
    <w:rsid w:val="00436D92"/>
    <w:rsid w:val="00442A87"/>
    <w:rsid w:val="0047692A"/>
    <w:rsid w:val="00492653"/>
    <w:rsid w:val="004C5BAB"/>
    <w:rsid w:val="004C7477"/>
    <w:rsid w:val="00511832"/>
    <w:rsid w:val="00535AA8"/>
    <w:rsid w:val="00536B73"/>
    <w:rsid w:val="0055248C"/>
    <w:rsid w:val="00576994"/>
    <w:rsid w:val="005A36D2"/>
    <w:rsid w:val="005A4951"/>
    <w:rsid w:val="005A5214"/>
    <w:rsid w:val="005D123F"/>
    <w:rsid w:val="005E7A89"/>
    <w:rsid w:val="006203B3"/>
    <w:rsid w:val="0062337D"/>
    <w:rsid w:val="00624BAD"/>
    <w:rsid w:val="006468C1"/>
    <w:rsid w:val="00672CD2"/>
    <w:rsid w:val="006849F7"/>
    <w:rsid w:val="006926E2"/>
    <w:rsid w:val="00692C72"/>
    <w:rsid w:val="006A4259"/>
    <w:rsid w:val="006B0D19"/>
    <w:rsid w:val="00727F09"/>
    <w:rsid w:val="0074309A"/>
    <w:rsid w:val="00747049"/>
    <w:rsid w:val="0075538E"/>
    <w:rsid w:val="007556A6"/>
    <w:rsid w:val="007656B2"/>
    <w:rsid w:val="00766814"/>
    <w:rsid w:val="00773861"/>
    <w:rsid w:val="007A24C8"/>
    <w:rsid w:val="007A68E4"/>
    <w:rsid w:val="007C3FEA"/>
    <w:rsid w:val="007D5393"/>
    <w:rsid w:val="007D78C1"/>
    <w:rsid w:val="007E1A99"/>
    <w:rsid w:val="007F1B7A"/>
    <w:rsid w:val="00821288"/>
    <w:rsid w:val="00821D35"/>
    <w:rsid w:val="00822973"/>
    <w:rsid w:val="00822E21"/>
    <w:rsid w:val="008323B7"/>
    <w:rsid w:val="00834E5E"/>
    <w:rsid w:val="00844713"/>
    <w:rsid w:val="00852A82"/>
    <w:rsid w:val="00881777"/>
    <w:rsid w:val="008A0E1E"/>
    <w:rsid w:val="008D1E05"/>
    <w:rsid w:val="008E0DF5"/>
    <w:rsid w:val="008E1C78"/>
    <w:rsid w:val="008E3A86"/>
    <w:rsid w:val="008F472A"/>
    <w:rsid w:val="008F5982"/>
    <w:rsid w:val="008F6996"/>
    <w:rsid w:val="00906D00"/>
    <w:rsid w:val="00907090"/>
    <w:rsid w:val="00924184"/>
    <w:rsid w:val="009254FA"/>
    <w:rsid w:val="0093793B"/>
    <w:rsid w:val="00947F76"/>
    <w:rsid w:val="009511D6"/>
    <w:rsid w:val="00972E74"/>
    <w:rsid w:val="00990048"/>
    <w:rsid w:val="009A1FA5"/>
    <w:rsid w:val="009B2CB3"/>
    <w:rsid w:val="009B4087"/>
    <w:rsid w:val="009B6971"/>
    <w:rsid w:val="009C27F8"/>
    <w:rsid w:val="009C32CC"/>
    <w:rsid w:val="009D1F71"/>
    <w:rsid w:val="009D319E"/>
    <w:rsid w:val="00A0043C"/>
    <w:rsid w:val="00A05666"/>
    <w:rsid w:val="00A22D9C"/>
    <w:rsid w:val="00A26C27"/>
    <w:rsid w:val="00A73249"/>
    <w:rsid w:val="00AA10DB"/>
    <w:rsid w:val="00AA4BAA"/>
    <w:rsid w:val="00AB3210"/>
    <w:rsid w:val="00AC1990"/>
    <w:rsid w:val="00AD2A7F"/>
    <w:rsid w:val="00AE0B8B"/>
    <w:rsid w:val="00AE3BF0"/>
    <w:rsid w:val="00AE6E4E"/>
    <w:rsid w:val="00AF080E"/>
    <w:rsid w:val="00B0123B"/>
    <w:rsid w:val="00B10998"/>
    <w:rsid w:val="00B16B0E"/>
    <w:rsid w:val="00B309DA"/>
    <w:rsid w:val="00B320C3"/>
    <w:rsid w:val="00B36A7F"/>
    <w:rsid w:val="00B46D99"/>
    <w:rsid w:val="00B54B52"/>
    <w:rsid w:val="00B63C7B"/>
    <w:rsid w:val="00B748B1"/>
    <w:rsid w:val="00B8670C"/>
    <w:rsid w:val="00B87356"/>
    <w:rsid w:val="00B97A03"/>
    <w:rsid w:val="00BA56AF"/>
    <w:rsid w:val="00BB79D0"/>
    <w:rsid w:val="00BC1379"/>
    <w:rsid w:val="00BE6BF9"/>
    <w:rsid w:val="00C04535"/>
    <w:rsid w:val="00C10310"/>
    <w:rsid w:val="00C14A82"/>
    <w:rsid w:val="00C22BD2"/>
    <w:rsid w:val="00C301A3"/>
    <w:rsid w:val="00C413A1"/>
    <w:rsid w:val="00C732F8"/>
    <w:rsid w:val="00C73538"/>
    <w:rsid w:val="00C8380C"/>
    <w:rsid w:val="00C8711E"/>
    <w:rsid w:val="00CA3596"/>
    <w:rsid w:val="00CA7A18"/>
    <w:rsid w:val="00CC2A97"/>
    <w:rsid w:val="00D0697B"/>
    <w:rsid w:val="00D06CF8"/>
    <w:rsid w:val="00D37816"/>
    <w:rsid w:val="00D41F25"/>
    <w:rsid w:val="00D553C7"/>
    <w:rsid w:val="00D71C4B"/>
    <w:rsid w:val="00D82033"/>
    <w:rsid w:val="00D849C6"/>
    <w:rsid w:val="00DC2335"/>
    <w:rsid w:val="00DC271F"/>
    <w:rsid w:val="00DC3C61"/>
    <w:rsid w:val="00DD08CE"/>
    <w:rsid w:val="00DD1DA8"/>
    <w:rsid w:val="00DE3092"/>
    <w:rsid w:val="00DF6A61"/>
    <w:rsid w:val="00E17967"/>
    <w:rsid w:val="00E33713"/>
    <w:rsid w:val="00E518DE"/>
    <w:rsid w:val="00E5283D"/>
    <w:rsid w:val="00E570B7"/>
    <w:rsid w:val="00EA0A69"/>
    <w:rsid w:val="00EC3DD7"/>
    <w:rsid w:val="00ED0C94"/>
    <w:rsid w:val="00ED31FE"/>
    <w:rsid w:val="00EE6E94"/>
    <w:rsid w:val="00EE7721"/>
    <w:rsid w:val="00EE7CE5"/>
    <w:rsid w:val="00EF042B"/>
    <w:rsid w:val="00F3331D"/>
    <w:rsid w:val="00F52A63"/>
    <w:rsid w:val="00F67579"/>
    <w:rsid w:val="00F7614A"/>
    <w:rsid w:val="00F8392D"/>
    <w:rsid w:val="00F864F3"/>
    <w:rsid w:val="00F907F5"/>
    <w:rsid w:val="00FB0101"/>
    <w:rsid w:val="00FE0E17"/>
    <w:rsid w:val="00FE2F19"/>
    <w:rsid w:val="00FE70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03"/>
  </w:style>
  <w:style w:type="paragraph" w:styleId="Ttulo1">
    <w:name w:val="heading 1"/>
    <w:basedOn w:val="Normal"/>
    <w:next w:val="Normal"/>
    <w:link w:val="Ttulo1Car"/>
    <w:uiPriority w:val="9"/>
    <w:qFormat/>
    <w:rsid w:val="0028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4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843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8670C"/>
    <w:pPr>
      <w:keepNext/>
      <w:keepLines/>
      <w:spacing w:before="40" w:after="0" w:line="360" w:lineRule="auto"/>
      <w:outlineLvl w:val="3"/>
    </w:pPr>
    <w:rPr>
      <w:rFonts w:eastAsiaTheme="majorEastAsia" w:cstheme="majorBidi"/>
      <w:b/>
      <w:iCs/>
    </w:rPr>
  </w:style>
  <w:style w:type="paragraph" w:styleId="Ttulo5">
    <w:name w:val="heading 5"/>
    <w:basedOn w:val="Normal"/>
    <w:next w:val="Normal"/>
    <w:link w:val="Ttulo5Car"/>
    <w:uiPriority w:val="9"/>
    <w:unhideWhenUsed/>
    <w:qFormat/>
    <w:rsid w:val="0028432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8432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843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30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254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54FA"/>
  </w:style>
  <w:style w:type="paragraph" w:styleId="Piedepgina">
    <w:name w:val="footer"/>
    <w:basedOn w:val="Normal"/>
    <w:link w:val="PiedepginaCar"/>
    <w:uiPriority w:val="99"/>
    <w:unhideWhenUsed/>
    <w:rsid w:val="009254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54FA"/>
  </w:style>
  <w:style w:type="paragraph" w:styleId="Prrafodelista">
    <w:name w:val="List Paragraph"/>
    <w:basedOn w:val="Normal"/>
    <w:uiPriority w:val="34"/>
    <w:qFormat/>
    <w:rsid w:val="0028432E"/>
    <w:pPr>
      <w:ind w:left="720"/>
      <w:contextualSpacing/>
    </w:pPr>
  </w:style>
  <w:style w:type="character" w:customStyle="1" w:styleId="Ttulo1Car">
    <w:name w:val="Título 1 Car"/>
    <w:basedOn w:val="Fuentedeprrafopredeter"/>
    <w:link w:val="Ttulo1"/>
    <w:uiPriority w:val="9"/>
    <w:rsid w:val="002843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843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843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8670C"/>
    <w:rPr>
      <w:rFonts w:eastAsiaTheme="majorEastAsia" w:cstheme="majorBidi"/>
      <w:b/>
      <w:iCs/>
    </w:rPr>
  </w:style>
  <w:style w:type="character" w:customStyle="1" w:styleId="Ttulo5Car">
    <w:name w:val="Título 5 Car"/>
    <w:basedOn w:val="Fuentedeprrafopredeter"/>
    <w:link w:val="Ttulo5"/>
    <w:uiPriority w:val="9"/>
    <w:rsid w:val="0028432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28432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28432E"/>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8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70C"/>
    <w:rPr>
      <w:rFonts w:ascii="Segoe UI" w:hAnsi="Segoe UI" w:cs="Segoe UI"/>
      <w:sz w:val="18"/>
      <w:szCs w:val="18"/>
    </w:rPr>
  </w:style>
  <w:style w:type="character" w:styleId="Hipervnculo">
    <w:name w:val="Hyperlink"/>
    <w:basedOn w:val="Fuentedeprrafopredeter"/>
    <w:uiPriority w:val="99"/>
    <w:semiHidden/>
    <w:unhideWhenUsed/>
    <w:rsid w:val="001E5679"/>
    <w:rPr>
      <w:rFonts w:ascii="Times New Roman" w:hAnsi="Times New Roman" w:cs="Times New Roman" w:hint="default"/>
      <w:color w:val="0000FF"/>
      <w:u w:val="single"/>
    </w:rPr>
  </w:style>
  <w:style w:type="paragraph" w:styleId="Textosinformato">
    <w:name w:val="Plain Text"/>
    <w:basedOn w:val="Normal"/>
    <w:link w:val="TextosinformatoCar"/>
    <w:uiPriority w:val="99"/>
    <w:semiHidden/>
    <w:unhideWhenUsed/>
    <w:rsid w:val="00844713"/>
    <w:pPr>
      <w:spacing w:after="0" w:line="240" w:lineRule="auto"/>
    </w:pPr>
    <w:rPr>
      <w:rFonts w:ascii="Calibri" w:eastAsia="Times New Roman" w:hAnsi="Calibri" w:cs="Times New Roman"/>
      <w:sz w:val="28"/>
      <w:szCs w:val="21"/>
      <w:lang w:eastAsia="es-ES"/>
    </w:rPr>
  </w:style>
  <w:style w:type="character" w:customStyle="1" w:styleId="TextosinformatoCar">
    <w:name w:val="Texto sin formato Car"/>
    <w:basedOn w:val="Fuentedeprrafopredeter"/>
    <w:link w:val="Textosinformato"/>
    <w:uiPriority w:val="99"/>
    <w:semiHidden/>
    <w:rsid w:val="00844713"/>
    <w:rPr>
      <w:rFonts w:ascii="Calibri" w:eastAsia="Times New Roman" w:hAnsi="Calibri" w:cs="Times New Roman"/>
      <w:sz w:val="28"/>
      <w:szCs w:val="21"/>
      <w:lang w:eastAsia="es-ES"/>
    </w:rPr>
  </w:style>
  <w:style w:type="paragraph" w:styleId="Textoindependiente">
    <w:name w:val="Body Text"/>
    <w:basedOn w:val="Normal"/>
    <w:link w:val="TextoindependienteCar"/>
    <w:semiHidden/>
    <w:rsid w:val="005D123F"/>
    <w:pPr>
      <w:autoSpaceDE w:val="0"/>
      <w:autoSpaceDN w:val="0"/>
      <w:adjustRightInd w:val="0"/>
      <w:spacing w:beforeAutospacing="1" w:after="100" w:afterAutospacing="1" w:line="240" w:lineRule="auto"/>
      <w:ind w:left="907" w:hanging="357"/>
      <w:jc w:val="both"/>
    </w:pPr>
    <w:rPr>
      <w:rFonts w:ascii="Arial" w:eastAsia="Times New Roman" w:hAnsi="Arial" w:cs="Times New Roman"/>
      <w:color w:val="000000"/>
      <w:sz w:val="24"/>
      <w:szCs w:val="24"/>
      <w:lang w:eastAsia="es-ES"/>
    </w:rPr>
  </w:style>
  <w:style w:type="character" w:customStyle="1" w:styleId="TextoindependienteCar">
    <w:name w:val="Texto independiente Car"/>
    <w:basedOn w:val="Fuentedeprrafopredeter"/>
    <w:link w:val="Textoindependiente"/>
    <w:semiHidden/>
    <w:rsid w:val="005D123F"/>
    <w:rPr>
      <w:rFonts w:ascii="Arial" w:eastAsia="Times New Roman" w:hAnsi="Arial"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23018601">
      <w:bodyDiv w:val="1"/>
      <w:marLeft w:val="0"/>
      <w:marRight w:val="0"/>
      <w:marTop w:val="0"/>
      <w:marBottom w:val="0"/>
      <w:divBdr>
        <w:top w:val="none" w:sz="0" w:space="0" w:color="auto"/>
        <w:left w:val="none" w:sz="0" w:space="0" w:color="auto"/>
        <w:bottom w:val="none" w:sz="0" w:space="0" w:color="auto"/>
        <w:right w:val="none" w:sz="0" w:space="0" w:color="auto"/>
      </w:divBdr>
    </w:div>
    <w:div w:id="30955828">
      <w:bodyDiv w:val="1"/>
      <w:marLeft w:val="0"/>
      <w:marRight w:val="0"/>
      <w:marTop w:val="0"/>
      <w:marBottom w:val="0"/>
      <w:divBdr>
        <w:top w:val="none" w:sz="0" w:space="0" w:color="auto"/>
        <w:left w:val="none" w:sz="0" w:space="0" w:color="auto"/>
        <w:bottom w:val="none" w:sz="0" w:space="0" w:color="auto"/>
        <w:right w:val="none" w:sz="0" w:space="0" w:color="auto"/>
      </w:divBdr>
    </w:div>
    <w:div w:id="31007291">
      <w:bodyDiv w:val="1"/>
      <w:marLeft w:val="0"/>
      <w:marRight w:val="0"/>
      <w:marTop w:val="0"/>
      <w:marBottom w:val="0"/>
      <w:divBdr>
        <w:top w:val="none" w:sz="0" w:space="0" w:color="auto"/>
        <w:left w:val="none" w:sz="0" w:space="0" w:color="auto"/>
        <w:bottom w:val="none" w:sz="0" w:space="0" w:color="auto"/>
        <w:right w:val="none" w:sz="0" w:space="0" w:color="auto"/>
      </w:divBdr>
    </w:div>
    <w:div w:id="36122851">
      <w:bodyDiv w:val="1"/>
      <w:marLeft w:val="0"/>
      <w:marRight w:val="0"/>
      <w:marTop w:val="0"/>
      <w:marBottom w:val="0"/>
      <w:divBdr>
        <w:top w:val="none" w:sz="0" w:space="0" w:color="auto"/>
        <w:left w:val="none" w:sz="0" w:space="0" w:color="auto"/>
        <w:bottom w:val="none" w:sz="0" w:space="0" w:color="auto"/>
        <w:right w:val="none" w:sz="0" w:space="0" w:color="auto"/>
      </w:divBdr>
    </w:div>
    <w:div w:id="58406490">
      <w:bodyDiv w:val="1"/>
      <w:marLeft w:val="0"/>
      <w:marRight w:val="0"/>
      <w:marTop w:val="0"/>
      <w:marBottom w:val="0"/>
      <w:divBdr>
        <w:top w:val="none" w:sz="0" w:space="0" w:color="auto"/>
        <w:left w:val="none" w:sz="0" w:space="0" w:color="auto"/>
        <w:bottom w:val="none" w:sz="0" w:space="0" w:color="auto"/>
        <w:right w:val="none" w:sz="0" w:space="0" w:color="auto"/>
      </w:divBdr>
    </w:div>
    <w:div w:id="86459893">
      <w:bodyDiv w:val="1"/>
      <w:marLeft w:val="0"/>
      <w:marRight w:val="0"/>
      <w:marTop w:val="0"/>
      <w:marBottom w:val="0"/>
      <w:divBdr>
        <w:top w:val="none" w:sz="0" w:space="0" w:color="auto"/>
        <w:left w:val="none" w:sz="0" w:space="0" w:color="auto"/>
        <w:bottom w:val="none" w:sz="0" w:space="0" w:color="auto"/>
        <w:right w:val="none" w:sz="0" w:space="0" w:color="auto"/>
      </w:divBdr>
    </w:div>
    <w:div w:id="89856486">
      <w:bodyDiv w:val="1"/>
      <w:marLeft w:val="0"/>
      <w:marRight w:val="0"/>
      <w:marTop w:val="0"/>
      <w:marBottom w:val="0"/>
      <w:divBdr>
        <w:top w:val="none" w:sz="0" w:space="0" w:color="auto"/>
        <w:left w:val="none" w:sz="0" w:space="0" w:color="auto"/>
        <w:bottom w:val="none" w:sz="0" w:space="0" w:color="auto"/>
        <w:right w:val="none" w:sz="0" w:space="0" w:color="auto"/>
      </w:divBdr>
    </w:div>
    <w:div w:id="101462876">
      <w:bodyDiv w:val="1"/>
      <w:marLeft w:val="0"/>
      <w:marRight w:val="0"/>
      <w:marTop w:val="0"/>
      <w:marBottom w:val="0"/>
      <w:divBdr>
        <w:top w:val="none" w:sz="0" w:space="0" w:color="auto"/>
        <w:left w:val="none" w:sz="0" w:space="0" w:color="auto"/>
        <w:bottom w:val="none" w:sz="0" w:space="0" w:color="auto"/>
        <w:right w:val="none" w:sz="0" w:space="0" w:color="auto"/>
      </w:divBdr>
    </w:div>
    <w:div w:id="170413112">
      <w:bodyDiv w:val="1"/>
      <w:marLeft w:val="0"/>
      <w:marRight w:val="0"/>
      <w:marTop w:val="0"/>
      <w:marBottom w:val="0"/>
      <w:divBdr>
        <w:top w:val="none" w:sz="0" w:space="0" w:color="auto"/>
        <w:left w:val="none" w:sz="0" w:space="0" w:color="auto"/>
        <w:bottom w:val="none" w:sz="0" w:space="0" w:color="auto"/>
        <w:right w:val="none" w:sz="0" w:space="0" w:color="auto"/>
      </w:divBdr>
    </w:div>
    <w:div w:id="223611905">
      <w:bodyDiv w:val="1"/>
      <w:marLeft w:val="0"/>
      <w:marRight w:val="0"/>
      <w:marTop w:val="0"/>
      <w:marBottom w:val="0"/>
      <w:divBdr>
        <w:top w:val="none" w:sz="0" w:space="0" w:color="auto"/>
        <w:left w:val="none" w:sz="0" w:space="0" w:color="auto"/>
        <w:bottom w:val="none" w:sz="0" w:space="0" w:color="auto"/>
        <w:right w:val="none" w:sz="0" w:space="0" w:color="auto"/>
      </w:divBdr>
    </w:div>
    <w:div w:id="253051436">
      <w:bodyDiv w:val="1"/>
      <w:marLeft w:val="0"/>
      <w:marRight w:val="0"/>
      <w:marTop w:val="0"/>
      <w:marBottom w:val="0"/>
      <w:divBdr>
        <w:top w:val="none" w:sz="0" w:space="0" w:color="auto"/>
        <w:left w:val="none" w:sz="0" w:space="0" w:color="auto"/>
        <w:bottom w:val="none" w:sz="0" w:space="0" w:color="auto"/>
        <w:right w:val="none" w:sz="0" w:space="0" w:color="auto"/>
      </w:divBdr>
    </w:div>
    <w:div w:id="270362589">
      <w:bodyDiv w:val="1"/>
      <w:marLeft w:val="0"/>
      <w:marRight w:val="0"/>
      <w:marTop w:val="0"/>
      <w:marBottom w:val="0"/>
      <w:divBdr>
        <w:top w:val="none" w:sz="0" w:space="0" w:color="auto"/>
        <w:left w:val="none" w:sz="0" w:space="0" w:color="auto"/>
        <w:bottom w:val="none" w:sz="0" w:space="0" w:color="auto"/>
        <w:right w:val="none" w:sz="0" w:space="0" w:color="auto"/>
      </w:divBdr>
    </w:div>
    <w:div w:id="318971536">
      <w:bodyDiv w:val="1"/>
      <w:marLeft w:val="0"/>
      <w:marRight w:val="0"/>
      <w:marTop w:val="0"/>
      <w:marBottom w:val="0"/>
      <w:divBdr>
        <w:top w:val="none" w:sz="0" w:space="0" w:color="auto"/>
        <w:left w:val="none" w:sz="0" w:space="0" w:color="auto"/>
        <w:bottom w:val="none" w:sz="0" w:space="0" w:color="auto"/>
        <w:right w:val="none" w:sz="0" w:space="0" w:color="auto"/>
      </w:divBdr>
    </w:div>
    <w:div w:id="328599252">
      <w:bodyDiv w:val="1"/>
      <w:marLeft w:val="0"/>
      <w:marRight w:val="0"/>
      <w:marTop w:val="0"/>
      <w:marBottom w:val="0"/>
      <w:divBdr>
        <w:top w:val="none" w:sz="0" w:space="0" w:color="auto"/>
        <w:left w:val="none" w:sz="0" w:space="0" w:color="auto"/>
        <w:bottom w:val="none" w:sz="0" w:space="0" w:color="auto"/>
        <w:right w:val="none" w:sz="0" w:space="0" w:color="auto"/>
      </w:divBdr>
    </w:div>
    <w:div w:id="337119181">
      <w:bodyDiv w:val="1"/>
      <w:marLeft w:val="0"/>
      <w:marRight w:val="0"/>
      <w:marTop w:val="0"/>
      <w:marBottom w:val="0"/>
      <w:divBdr>
        <w:top w:val="none" w:sz="0" w:space="0" w:color="auto"/>
        <w:left w:val="none" w:sz="0" w:space="0" w:color="auto"/>
        <w:bottom w:val="none" w:sz="0" w:space="0" w:color="auto"/>
        <w:right w:val="none" w:sz="0" w:space="0" w:color="auto"/>
      </w:divBdr>
    </w:div>
    <w:div w:id="363866368">
      <w:bodyDiv w:val="1"/>
      <w:marLeft w:val="0"/>
      <w:marRight w:val="0"/>
      <w:marTop w:val="0"/>
      <w:marBottom w:val="0"/>
      <w:divBdr>
        <w:top w:val="none" w:sz="0" w:space="0" w:color="auto"/>
        <w:left w:val="none" w:sz="0" w:space="0" w:color="auto"/>
        <w:bottom w:val="none" w:sz="0" w:space="0" w:color="auto"/>
        <w:right w:val="none" w:sz="0" w:space="0" w:color="auto"/>
      </w:divBdr>
    </w:div>
    <w:div w:id="379524603">
      <w:bodyDiv w:val="1"/>
      <w:marLeft w:val="0"/>
      <w:marRight w:val="0"/>
      <w:marTop w:val="0"/>
      <w:marBottom w:val="0"/>
      <w:divBdr>
        <w:top w:val="none" w:sz="0" w:space="0" w:color="auto"/>
        <w:left w:val="none" w:sz="0" w:space="0" w:color="auto"/>
        <w:bottom w:val="none" w:sz="0" w:space="0" w:color="auto"/>
        <w:right w:val="none" w:sz="0" w:space="0" w:color="auto"/>
      </w:divBdr>
    </w:div>
    <w:div w:id="392045629">
      <w:bodyDiv w:val="1"/>
      <w:marLeft w:val="0"/>
      <w:marRight w:val="0"/>
      <w:marTop w:val="0"/>
      <w:marBottom w:val="0"/>
      <w:divBdr>
        <w:top w:val="none" w:sz="0" w:space="0" w:color="auto"/>
        <w:left w:val="none" w:sz="0" w:space="0" w:color="auto"/>
        <w:bottom w:val="none" w:sz="0" w:space="0" w:color="auto"/>
        <w:right w:val="none" w:sz="0" w:space="0" w:color="auto"/>
      </w:divBdr>
    </w:div>
    <w:div w:id="441144922">
      <w:bodyDiv w:val="1"/>
      <w:marLeft w:val="0"/>
      <w:marRight w:val="0"/>
      <w:marTop w:val="0"/>
      <w:marBottom w:val="0"/>
      <w:divBdr>
        <w:top w:val="none" w:sz="0" w:space="0" w:color="auto"/>
        <w:left w:val="none" w:sz="0" w:space="0" w:color="auto"/>
        <w:bottom w:val="none" w:sz="0" w:space="0" w:color="auto"/>
        <w:right w:val="none" w:sz="0" w:space="0" w:color="auto"/>
      </w:divBdr>
    </w:div>
    <w:div w:id="481194935">
      <w:bodyDiv w:val="1"/>
      <w:marLeft w:val="0"/>
      <w:marRight w:val="0"/>
      <w:marTop w:val="0"/>
      <w:marBottom w:val="0"/>
      <w:divBdr>
        <w:top w:val="none" w:sz="0" w:space="0" w:color="auto"/>
        <w:left w:val="none" w:sz="0" w:space="0" w:color="auto"/>
        <w:bottom w:val="none" w:sz="0" w:space="0" w:color="auto"/>
        <w:right w:val="none" w:sz="0" w:space="0" w:color="auto"/>
      </w:divBdr>
    </w:div>
    <w:div w:id="524944514">
      <w:bodyDiv w:val="1"/>
      <w:marLeft w:val="0"/>
      <w:marRight w:val="0"/>
      <w:marTop w:val="0"/>
      <w:marBottom w:val="0"/>
      <w:divBdr>
        <w:top w:val="none" w:sz="0" w:space="0" w:color="auto"/>
        <w:left w:val="none" w:sz="0" w:space="0" w:color="auto"/>
        <w:bottom w:val="none" w:sz="0" w:space="0" w:color="auto"/>
        <w:right w:val="none" w:sz="0" w:space="0" w:color="auto"/>
      </w:divBdr>
    </w:div>
    <w:div w:id="531502487">
      <w:bodyDiv w:val="1"/>
      <w:marLeft w:val="0"/>
      <w:marRight w:val="0"/>
      <w:marTop w:val="0"/>
      <w:marBottom w:val="0"/>
      <w:divBdr>
        <w:top w:val="none" w:sz="0" w:space="0" w:color="auto"/>
        <w:left w:val="none" w:sz="0" w:space="0" w:color="auto"/>
        <w:bottom w:val="none" w:sz="0" w:space="0" w:color="auto"/>
        <w:right w:val="none" w:sz="0" w:space="0" w:color="auto"/>
      </w:divBdr>
    </w:div>
    <w:div w:id="559243274">
      <w:bodyDiv w:val="1"/>
      <w:marLeft w:val="0"/>
      <w:marRight w:val="0"/>
      <w:marTop w:val="0"/>
      <w:marBottom w:val="0"/>
      <w:divBdr>
        <w:top w:val="none" w:sz="0" w:space="0" w:color="auto"/>
        <w:left w:val="none" w:sz="0" w:space="0" w:color="auto"/>
        <w:bottom w:val="none" w:sz="0" w:space="0" w:color="auto"/>
        <w:right w:val="none" w:sz="0" w:space="0" w:color="auto"/>
      </w:divBdr>
    </w:div>
    <w:div w:id="570702948">
      <w:bodyDiv w:val="1"/>
      <w:marLeft w:val="0"/>
      <w:marRight w:val="0"/>
      <w:marTop w:val="0"/>
      <w:marBottom w:val="0"/>
      <w:divBdr>
        <w:top w:val="none" w:sz="0" w:space="0" w:color="auto"/>
        <w:left w:val="none" w:sz="0" w:space="0" w:color="auto"/>
        <w:bottom w:val="none" w:sz="0" w:space="0" w:color="auto"/>
        <w:right w:val="none" w:sz="0" w:space="0" w:color="auto"/>
      </w:divBdr>
    </w:div>
    <w:div w:id="612715003">
      <w:bodyDiv w:val="1"/>
      <w:marLeft w:val="0"/>
      <w:marRight w:val="0"/>
      <w:marTop w:val="0"/>
      <w:marBottom w:val="0"/>
      <w:divBdr>
        <w:top w:val="none" w:sz="0" w:space="0" w:color="auto"/>
        <w:left w:val="none" w:sz="0" w:space="0" w:color="auto"/>
        <w:bottom w:val="none" w:sz="0" w:space="0" w:color="auto"/>
        <w:right w:val="none" w:sz="0" w:space="0" w:color="auto"/>
      </w:divBdr>
    </w:div>
    <w:div w:id="629631973">
      <w:bodyDiv w:val="1"/>
      <w:marLeft w:val="0"/>
      <w:marRight w:val="0"/>
      <w:marTop w:val="0"/>
      <w:marBottom w:val="0"/>
      <w:divBdr>
        <w:top w:val="none" w:sz="0" w:space="0" w:color="auto"/>
        <w:left w:val="none" w:sz="0" w:space="0" w:color="auto"/>
        <w:bottom w:val="none" w:sz="0" w:space="0" w:color="auto"/>
        <w:right w:val="none" w:sz="0" w:space="0" w:color="auto"/>
      </w:divBdr>
    </w:div>
    <w:div w:id="633025747">
      <w:bodyDiv w:val="1"/>
      <w:marLeft w:val="0"/>
      <w:marRight w:val="0"/>
      <w:marTop w:val="0"/>
      <w:marBottom w:val="0"/>
      <w:divBdr>
        <w:top w:val="none" w:sz="0" w:space="0" w:color="auto"/>
        <w:left w:val="none" w:sz="0" w:space="0" w:color="auto"/>
        <w:bottom w:val="none" w:sz="0" w:space="0" w:color="auto"/>
        <w:right w:val="none" w:sz="0" w:space="0" w:color="auto"/>
      </w:divBdr>
    </w:div>
    <w:div w:id="655837124">
      <w:bodyDiv w:val="1"/>
      <w:marLeft w:val="0"/>
      <w:marRight w:val="0"/>
      <w:marTop w:val="0"/>
      <w:marBottom w:val="0"/>
      <w:divBdr>
        <w:top w:val="none" w:sz="0" w:space="0" w:color="auto"/>
        <w:left w:val="none" w:sz="0" w:space="0" w:color="auto"/>
        <w:bottom w:val="none" w:sz="0" w:space="0" w:color="auto"/>
        <w:right w:val="none" w:sz="0" w:space="0" w:color="auto"/>
      </w:divBdr>
    </w:div>
    <w:div w:id="665481512">
      <w:bodyDiv w:val="1"/>
      <w:marLeft w:val="0"/>
      <w:marRight w:val="0"/>
      <w:marTop w:val="0"/>
      <w:marBottom w:val="0"/>
      <w:divBdr>
        <w:top w:val="none" w:sz="0" w:space="0" w:color="auto"/>
        <w:left w:val="none" w:sz="0" w:space="0" w:color="auto"/>
        <w:bottom w:val="none" w:sz="0" w:space="0" w:color="auto"/>
        <w:right w:val="none" w:sz="0" w:space="0" w:color="auto"/>
      </w:divBdr>
    </w:div>
    <w:div w:id="688676647">
      <w:bodyDiv w:val="1"/>
      <w:marLeft w:val="0"/>
      <w:marRight w:val="0"/>
      <w:marTop w:val="0"/>
      <w:marBottom w:val="0"/>
      <w:divBdr>
        <w:top w:val="none" w:sz="0" w:space="0" w:color="auto"/>
        <w:left w:val="none" w:sz="0" w:space="0" w:color="auto"/>
        <w:bottom w:val="none" w:sz="0" w:space="0" w:color="auto"/>
        <w:right w:val="none" w:sz="0" w:space="0" w:color="auto"/>
      </w:divBdr>
    </w:div>
    <w:div w:id="689719389">
      <w:bodyDiv w:val="1"/>
      <w:marLeft w:val="0"/>
      <w:marRight w:val="0"/>
      <w:marTop w:val="0"/>
      <w:marBottom w:val="0"/>
      <w:divBdr>
        <w:top w:val="none" w:sz="0" w:space="0" w:color="auto"/>
        <w:left w:val="none" w:sz="0" w:space="0" w:color="auto"/>
        <w:bottom w:val="none" w:sz="0" w:space="0" w:color="auto"/>
        <w:right w:val="none" w:sz="0" w:space="0" w:color="auto"/>
      </w:divBdr>
    </w:div>
    <w:div w:id="755370529">
      <w:bodyDiv w:val="1"/>
      <w:marLeft w:val="0"/>
      <w:marRight w:val="0"/>
      <w:marTop w:val="0"/>
      <w:marBottom w:val="0"/>
      <w:divBdr>
        <w:top w:val="none" w:sz="0" w:space="0" w:color="auto"/>
        <w:left w:val="none" w:sz="0" w:space="0" w:color="auto"/>
        <w:bottom w:val="none" w:sz="0" w:space="0" w:color="auto"/>
        <w:right w:val="none" w:sz="0" w:space="0" w:color="auto"/>
      </w:divBdr>
    </w:div>
    <w:div w:id="847250102">
      <w:bodyDiv w:val="1"/>
      <w:marLeft w:val="0"/>
      <w:marRight w:val="0"/>
      <w:marTop w:val="0"/>
      <w:marBottom w:val="0"/>
      <w:divBdr>
        <w:top w:val="none" w:sz="0" w:space="0" w:color="auto"/>
        <w:left w:val="none" w:sz="0" w:space="0" w:color="auto"/>
        <w:bottom w:val="none" w:sz="0" w:space="0" w:color="auto"/>
        <w:right w:val="none" w:sz="0" w:space="0" w:color="auto"/>
      </w:divBdr>
    </w:div>
    <w:div w:id="870341719">
      <w:bodyDiv w:val="1"/>
      <w:marLeft w:val="0"/>
      <w:marRight w:val="0"/>
      <w:marTop w:val="0"/>
      <w:marBottom w:val="0"/>
      <w:divBdr>
        <w:top w:val="none" w:sz="0" w:space="0" w:color="auto"/>
        <w:left w:val="none" w:sz="0" w:space="0" w:color="auto"/>
        <w:bottom w:val="none" w:sz="0" w:space="0" w:color="auto"/>
        <w:right w:val="none" w:sz="0" w:space="0" w:color="auto"/>
      </w:divBdr>
    </w:div>
    <w:div w:id="875966461">
      <w:bodyDiv w:val="1"/>
      <w:marLeft w:val="0"/>
      <w:marRight w:val="0"/>
      <w:marTop w:val="0"/>
      <w:marBottom w:val="0"/>
      <w:divBdr>
        <w:top w:val="none" w:sz="0" w:space="0" w:color="auto"/>
        <w:left w:val="none" w:sz="0" w:space="0" w:color="auto"/>
        <w:bottom w:val="none" w:sz="0" w:space="0" w:color="auto"/>
        <w:right w:val="none" w:sz="0" w:space="0" w:color="auto"/>
      </w:divBdr>
    </w:div>
    <w:div w:id="896552075">
      <w:bodyDiv w:val="1"/>
      <w:marLeft w:val="0"/>
      <w:marRight w:val="0"/>
      <w:marTop w:val="0"/>
      <w:marBottom w:val="0"/>
      <w:divBdr>
        <w:top w:val="none" w:sz="0" w:space="0" w:color="auto"/>
        <w:left w:val="none" w:sz="0" w:space="0" w:color="auto"/>
        <w:bottom w:val="none" w:sz="0" w:space="0" w:color="auto"/>
        <w:right w:val="none" w:sz="0" w:space="0" w:color="auto"/>
      </w:divBdr>
    </w:div>
    <w:div w:id="902830940">
      <w:bodyDiv w:val="1"/>
      <w:marLeft w:val="0"/>
      <w:marRight w:val="0"/>
      <w:marTop w:val="0"/>
      <w:marBottom w:val="0"/>
      <w:divBdr>
        <w:top w:val="none" w:sz="0" w:space="0" w:color="auto"/>
        <w:left w:val="none" w:sz="0" w:space="0" w:color="auto"/>
        <w:bottom w:val="none" w:sz="0" w:space="0" w:color="auto"/>
        <w:right w:val="none" w:sz="0" w:space="0" w:color="auto"/>
      </w:divBdr>
    </w:div>
    <w:div w:id="948463880">
      <w:bodyDiv w:val="1"/>
      <w:marLeft w:val="0"/>
      <w:marRight w:val="0"/>
      <w:marTop w:val="0"/>
      <w:marBottom w:val="0"/>
      <w:divBdr>
        <w:top w:val="none" w:sz="0" w:space="0" w:color="auto"/>
        <w:left w:val="none" w:sz="0" w:space="0" w:color="auto"/>
        <w:bottom w:val="none" w:sz="0" w:space="0" w:color="auto"/>
        <w:right w:val="none" w:sz="0" w:space="0" w:color="auto"/>
      </w:divBdr>
    </w:div>
    <w:div w:id="982004979">
      <w:bodyDiv w:val="1"/>
      <w:marLeft w:val="0"/>
      <w:marRight w:val="0"/>
      <w:marTop w:val="0"/>
      <w:marBottom w:val="0"/>
      <w:divBdr>
        <w:top w:val="none" w:sz="0" w:space="0" w:color="auto"/>
        <w:left w:val="none" w:sz="0" w:space="0" w:color="auto"/>
        <w:bottom w:val="none" w:sz="0" w:space="0" w:color="auto"/>
        <w:right w:val="none" w:sz="0" w:space="0" w:color="auto"/>
      </w:divBdr>
    </w:div>
    <w:div w:id="1028483046">
      <w:bodyDiv w:val="1"/>
      <w:marLeft w:val="0"/>
      <w:marRight w:val="0"/>
      <w:marTop w:val="0"/>
      <w:marBottom w:val="0"/>
      <w:divBdr>
        <w:top w:val="none" w:sz="0" w:space="0" w:color="auto"/>
        <w:left w:val="none" w:sz="0" w:space="0" w:color="auto"/>
        <w:bottom w:val="none" w:sz="0" w:space="0" w:color="auto"/>
        <w:right w:val="none" w:sz="0" w:space="0" w:color="auto"/>
      </w:divBdr>
    </w:div>
    <w:div w:id="1056856488">
      <w:bodyDiv w:val="1"/>
      <w:marLeft w:val="0"/>
      <w:marRight w:val="0"/>
      <w:marTop w:val="0"/>
      <w:marBottom w:val="0"/>
      <w:divBdr>
        <w:top w:val="none" w:sz="0" w:space="0" w:color="auto"/>
        <w:left w:val="none" w:sz="0" w:space="0" w:color="auto"/>
        <w:bottom w:val="none" w:sz="0" w:space="0" w:color="auto"/>
        <w:right w:val="none" w:sz="0" w:space="0" w:color="auto"/>
      </w:divBdr>
    </w:div>
    <w:div w:id="1091895456">
      <w:bodyDiv w:val="1"/>
      <w:marLeft w:val="0"/>
      <w:marRight w:val="0"/>
      <w:marTop w:val="0"/>
      <w:marBottom w:val="0"/>
      <w:divBdr>
        <w:top w:val="none" w:sz="0" w:space="0" w:color="auto"/>
        <w:left w:val="none" w:sz="0" w:space="0" w:color="auto"/>
        <w:bottom w:val="none" w:sz="0" w:space="0" w:color="auto"/>
        <w:right w:val="none" w:sz="0" w:space="0" w:color="auto"/>
      </w:divBdr>
    </w:div>
    <w:div w:id="1113358073">
      <w:bodyDiv w:val="1"/>
      <w:marLeft w:val="0"/>
      <w:marRight w:val="0"/>
      <w:marTop w:val="0"/>
      <w:marBottom w:val="0"/>
      <w:divBdr>
        <w:top w:val="none" w:sz="0" w:space="0" w:color="auto"/>
        <w:left w:val="none" w:sz="0" w:space="0" w:color="auto"/>
        <w:bottom w:val="none" w:sz="0" w:space="0" w:color="auto"/>
        <w:right w:val="none" w:sz="0" w:space="0" w:color="auto"/>
      </w:divBdr>
    </w:div>
    <w:div w:id="1129282352">
      <w:bodyDiv w:val="1"/>
      <w:marLeft w:val="0"/>
      <w:marRight w:val="0"/>
      <w:marTop w:val="0"/>
      <w:marBottom w:val="0"/>
      <w:divBdr>
        <w:top w:val="none" w:sz="0" w:space="0" w:color="auto"/>
        <w:left w:val="none" w:sz="0" w:space="0" w:color="auto"/>
        <w:bottom w:val="none" w:sz="0" w:space="0" w:color="auto"/>
        <w:right w:val="none" w:sz="0" w:space="0" w:color="auto"/>
      </w:divBdr>
    </w:div>
    <w:div w:id="1130366599">
      <w:bodyDiv w:val="1"/>
      <w:marLeft w:val="0"/>
      <w:marRight w:val="0"/>
      <w:marTop w:val="0"/>
      <w:marBottom w:val="0"/>
      <w:divBdr>
        <w:top w:val="none" w:sz="0" w:space="0" w:color="auto"/>
        <w:left w:val="none" w:sz="0" w:space="0" w:color="auto"/>
        <w:bottom w:val="none" w:sz="0" w:space="0" w:color="auto"/>
        <w:right w:val="none" w:sz="0" w:space="0" w:color="auto"/>
      </w:divBdr>
    </w:div>
    <w:div w:id="1137257946">
      <w:bodyDiv w:val="1"/>
      <w:marLeft w:val="0"/>
      <w:marRight w:val="0"/>
      <w:marTop w:val="0"/>
      <w:marBottom w:val="0"/>
      <w:divBdr>
        <w:top w:val="none" w:sz="0" w:space="0" w:color="auto"/>
        <w:left w:val="none" w:sz="0" w:space="0" w:color="auto"/>
        <w:bottom w:val="none" w:sz="0" w:space="0" w:color="auto"/>
        <w:right w:val="none" w:sz="0" w:space="0" w:color="auto"/>
      </w:divBdr>
    </w:div>
    <w:div w:id="1175682803">
      <w:bodyDiv w:val="1"/>
      <w:marLeft w:val="0"/>
      <w:marRight w:val="0"/>
      <w:marTop w:val="0"/>
      <w:marBottom w:val="0"/>
      <w:divBdr>
        <w:top w:val="none" w:sz="0" w:space="0" w:color="auto"/>
        <w:left w:val="none" w:sz="0" w:space="0" w:color="auto"/>
        <w:bottom w:val="none" w:sz="0" w:space="0" w:color="auto"/>
        <w:right w:val="none" w:sz="0" w:space="0" w:color="auto"/>
      </w:divBdr>
    </w:div>
    <w:div w:id="1207374938">
      <w:bodyDiv w:val="1"/>
      <w:marLeft w:val="0"/>
      <w:marRight w:val="0"/>
      <w:marTop w:val="0"/>
      <w:marBottom w:val="0"/>
      <w:divBdr>
        <w:top w:val="none" w:sz="0" w:space="0" w:color="auto"/>
        <w:left w:val="none" w:sz="0" w:space="0" w:color="auto"/>
        <w:bottom w:val="none" w:sz="0" w:space="0" w:color="auto"/>
        <w:right w:val="none" w:sz="0" w:space="0" w:color="auto"/>
      </w:divBdr>
    </w:div>
    <w:div w:id="1257061084">
      <w:bodyDiv w:val="1"/>
      <w:marLeft w:val="0"/>
      <w:marRight w:val="0"/>
      <w:marTop w:val="0"/>
      <w:marBottom w:val="0"/>
      <w:divBdr>
        <w:top w:val="none" w:sz="0" w:space="0" w:color="auto"/>
        <w:left w:val="none" w:sz="0" w:space="0" w:color="auto"/>
        <w:bottom w:val="none" w:sz="0" w:space="0" w:color="auto"/>
        <w:right w:val="none" w:sz="0" w:space="0" w:color="auto"/>
      </w:divBdr>
    </w:div>
    <w:div w:id="1260602529">
      <w:bodyDiv w:val="1"/>
      <w:marLeft w:val="0"/>
      <w:marRight w:val="0"/>
      <w:marTop w:val="0"/>
      <w:marBottom w:val="0"/>
      <w:divBdr>
        <w:top w:val="none" w:sz="0" w:space="0" w:color="auto"/>
        <w:left w:val="none" w:sz="0" w:space="0" w:color="auto"/>
        <w:bottom w:val="none" w:sz="0" w:space="0" w:color="auto"/>
        <w:right w:val="none" w:sz="0" w:space="0" w:color="auto"/>
      </w:divBdr>
    </w:div>
    <w:div w:id="1286230182">
      <w:bodyDiv w:val="1"/>
      <w:marLeft w:val="0"/>
      <w:marRight w:val="0"/>
      <w:marTop w:val="0"/>
      <w:marBottom w:val="0"/>
      <w:divBdr>
        <w:top w:val="none" w:sz="0" w:space="0" w:color="auto"/>
        <w:left w:val="none" w:sz="0" w:space="0" w:color="auto"/>
        <w:bottom w:val="none" w:sz="0" w:space="0" w:color="auto"/>
        <w:right w:val="none" w:sz="0" w:space="0" w:color="auto"/>
      </w:divBdr>
    </w:div>
    <w:div w:id="1464419449">
      <w:bodyDiv w:val="1"/>
      <w:marLeft w:val="0"/>
      <w:marRight w:val="0"/>
      <w:marTop w:val="0"/>
      <w:marBottom w:val="0"/>
      <w:divBdr>
        <w:top w:val="none" w:sz="0" w:space="0" w:color="auto"/>
        <w:left w:val="none" w:sz="0" w:space="0" w:color="auto"/>
        <w:bottom w:val="none" w:sz="0" w:space="0" w:color="auto"/>
        <w:right w:val="none" w:sz="0" w:space="0" w:color="auto"/>
      </w:divBdr>
    </w:div>
    <w:div w:id="1477918384">
      <w:bodyDiv w:val="1"/>
      <w:marLeft w:val="0"/>
      <w:marRight w:val="0"/>
      <w:marTop w:val="0"/>
      <w:marBottom w:val="0"/>
      <w:divBdr>
        <w:top w:val="none" w:sz="0" w:space="0" w:color="auto"/>
        <w:left w:val="none" w:sz="0" w:space="0" w:color="auto"/>
        <w:bottom w:val="none" w:sz="0" w:space="0" w:color="auto"/>
        <w:right w:val="none" w:sz="0" w:space="0" w:color="auto"/>
      </w:divBdr>
    </w:div>
    <w:div w:id="1484390617">
      <w:bodyDiv w:val="1"/>
      <w:marLeft w:val="0"/>
      <w:marRight w:val="0"/>
      <w:marTop w:val="0"/>
      <w:marBottom w:val="0"/>
      <w:divBdr>
        <w:top w:val="none" w:sz="0" w:space="0" w:color="auto"/>
        <w:left w:val="none" w:sz="0" w:space="0" w:color="auto"/>
        <w:bottom w:val="none" w:sz="0" w:space="0" w:color="auto"/>
        <w:right w:val="none" w:sz="0" w:space="0" w:color="auto"/>
      </w:divBdr>
    </w:div>
    <w:div w:id="1514566430">
      <w:bodyDiv w:val="1"/>
      <w:marLeft w:val="0"/>
      <w:marRight w:val="0"/>
      <w:marTop w:val="0"/>
      <w:marBottom w:val="0"/>
      <w:divBdr>
        <w:top w:val="none" w:sz="0" w:space="0" w:color="auto"/>
        <w:left w:val="none" w:sz="0" w:space="0" w:color="auto"/>
        <w:bottom w:val="none" w:sz="0" w:space="0" w:color="auto"/>
        <w:right w:val="none" w:sz="0" w:space="0" w:color="auto"/>
      </w:divBdr>
    </w:div>
    <w:div w:id="1567107752">
      <w:bodyDiv w:val="1"/>
      <w:marLeft w:val="0"/>
      <w:marRight w:val="0"/>
      <w:marTop w:val="0"/>
      <w:marBottom w:val="0"/>
      <w:divBdr>
        <w:top w:val="none" w:sz="0" w:space="0" w:color="auto"/>
        <w:left w:val="none" w:sz="0" w:space="0" w:color="auto"/>
        <w:bottom w:val="none" w:sz="0" w:space="0" w:color="auto"/>
        <w:right w:val="none" w:sz="0" w:space="0" w:color="auto"/>
      </w:divBdr>
    </w:div>
    <w:div w:id="1613434133">
      <w:bodyDiv w:val="1"/>
      <w:marLeft w:val="0"/>
      <w:marRight w:val="0"/>
      <w:marTop w:val="0"/>
      <w:marBottom w:val="0"/>
      <w:divBdr>
        <w:top w:val="none" w:sz="0" w:space="0" w:color="auto"/>
        <w:left w:val="none" w:sz="0" w:space="0" w:color="auto"/>
        <w:bottom w:val="none" w:sz="0" w:space="0" w:color="auto"/>
        <w:right w:val="none" w:sz="0" w:space="0" w:color="auto"/>
      </w:divBdr>
    </w:div>
    <w:div w:id="1677805956">
      <w:bodyDiv w:val="1"/>
      <w:marLeft w:val="0"/>
      <w:marRight w:val="0"/>
      <w:marTop w:val="0"/>
      <w:marBottom w:val="0"/>
      <w:divBdr>
        <w:top w:val="none" w:sz="0" w:space="0" w:color="auto"/>
        <w:left w:val="none" w:sz="0" w:space="0" w:color="auto"/>
        <w:bottom w:val="none" w:sz="0" w:space="0" w:color="auto"/>
        <w:right w:val="none" w:sz="0" w:space="0" w:color="auto"/>
      </w:divBdr>
    </w:div>
    <w:div w:id="1693996220">
      <w:bodyDiv w:val="1"/>
      <w:marLeft w:val="0"/>
      <w:marRight w:val="0"/>
      <w:marTop w:val="0"/>
      <w:marBottom w:val="0"/>
      <w:divBdr>
        <w:top w:val="none" w:sz="0" w:space="0" w:color="auto"/>
        <w:left w:val="none" w:sz="0" w:space="0" w:color="auto"/>
        <w:bottom w:val="none" w:sz="0" w:space="0" w:color="auto"/>
        <w:right w:val="none" w:sz="0" w:space="0" w:color="auto"/>
      </w:divBdr>
    </w:div>
    <w:div w:id="1727797257">
      <w:bodyDiv w:val="1"/>
      <w:marLeft w:val="0"/>
      <w:marRight w:val="0"/>
      <w:marTop w:val="0"/>
      <w:marBottom w:val="0"/>
      <w:divBdr>
        <w:top w:val="none" w:sz="0" w:space="0" w:color="auto"/>
        <w:left w:val="none" w:sz="0" w:space="0" w:color="auto"/>
        <w:bottom w:val="none" w:sz="0" w:space="0" w:color="auto"/>
        <w:right w:val="none" w:sz="0" w:space="0" w:color="auto"/>
      </w:divBdr>
    </w:div>
    <w:div w:id="1821115717">
      <w:bodyDiv w:val="1"/>
      <w:marLeft w:val="0"/>
      <w:marRight w:val="0"/>
      <w:marTop w:val="0"/>
      <w:marBottom w:val="0"/>
      <w:divBdr>
        <w:top w:val="none" w:sz="0" w:space="0" w:color="auto"/>
        <w:left w:val="none" w:sz="0" w:space="0" w:color="auto"/>
        <w:bottom w:val="none" w:sz="0" w:space="0" w:color="auto"/>
        <w:right w:val="none" w:sz="0" w:space="0" w:color="auto"/>
      </w:divBdr>
    </w:div>
    <w:div w:id="1830755585">
      <w:bodyDiv w:val="1"/>
      <w:marLeft w:val="0"/>
      <w:marRight w:val="0"/>
      <w:marTop w:val="0"/>
      <w:marBottom w:val="0"/>
      <w:divBdr>
        <w:top w:val="none" w:sz="0" w:space="0" w:color="auto"/>
        <w:left w:val="none" w:sz="0" w:space="0" w:color="auto"/>
        <w:bottom w:val="none" w:sz="0" w:space="0" w:color="auto"/>
        <w:right w:val="none" w:sz="0" w:space="0" w:color="auto"/>
      </w:divBdr>
    </w:div>
    <w:div w:id="1858418964">
      <w:bodyDiv w:val="1"/>
      <w:marLeft w:val="0"/>
      <w:marRight w:val="0"/>
      <w:marTop w:val="0"/>
      <w:marBottom w:val="0"/>
      <w:divBdr>
        <w:top w:val="none" w:sz="0" w:space="0" w:color="auto"/>
        <w:left w:val="none" w:sz="0" w:space="0" w:color="auto"/>
        <w:bottom w:val="none" w:sz="0" w:space="0" w:color="auto"/>
        <w:right w:val="none" w:sz="0" w:space="0" w:color="auto"/>
      </w:divBdr>
    </w:div>
    <w:div w:id="1977027250">
      <w:bodyDiv w:val="1"/>
      <w:marLeft w:val="0"/>
      <w:marRight w:val="0"/>
      <w:marTop w:val="0"/>
      <w:marBottom w:val="0"/>
      <w:divBdr>
        <w:top w:val="none" w:sz="0" w:space="0" w:color="auto"/>
        <w:left w:val="none" w:sz="0" w:space="0" w:color="auto"/>
        <w:bottom w:val="none" w:sz="0" w:space="0" w:color="auto"/>
        <w:right w:val="none" w:sz="0" w:space="0" w:color="auto"/>
      </w:divBdr>
    </w:div>
    <w:div w:id="1988898006">
      <w:bodyDiv w:val="1"/>
      <w:marLeft w:val="0"/>
      <w:marRight w:val="0"/>
      <w:marTop w:val="0"/>
      <w:marBottom w:val="0"/>
      <w:divBdr>
        <w:top w:val="none" w:sz="0" w:space="0" w:color="auto"/>
        <w:left w:val="none" w:sz="0" w:space="0" w:color="auto"/>
        <w:bottom w:val="none" w:sz="0" w:space="0" w:color="auto"/>
        <w:right w:val="none" w:sz="0" w:space="0" w:color="auto"/>
      </w:divBdr>
    </w:div>
    <w:div w:id="2011591845">
      <w:bodyDiv w:val="1"/>
      <w:marLeft w:val="0"/>
      <w:marRight w:val="0"/>
      <w:marTop w:val="0"/>
      <w:marBottom w:val="0"/>
      <w:divBdr>
        <w:top w:val="none" w:sz="0" w:space="0" w:color="auto"/>
        <w:left w:val="none" w:sz="0" w:space="0" w:color="auto"/>
        <w:bottom w:val="none" w:sz="0" w:space="0" w:color="auto"/>
        <w:right w:val="none" w:sz="0" w:space="0" w:color="auto"/>
      </w:divBdr>
    </w:div>
    <w:div w:id="2011640169">
      <w:bodyDiv w:val="1"/>
      <w:marLeft w:val="0"/>
      <w:marRight w:val="0"/>
      <w:marTop w:val="0"/>
      <w:marBottom w:val="0"/>
      <w:divBdr>
        <w:top w:val="none" w:sz="0" w:space="0" w:color="auto"/>
        <w:left w:val="none" w:sz="0" w:space="0" w:color="auto"/>
        <w:bottom w:val="none" w:sz="0" w:space="0" w:color="auto"/>
        <w:right w:val="none" w:sz="0" w:space="0" w:color="auto"/>
      </w:divBdr>
    </w:div>
    <w:div w:id="2021198452">
      <w:bodyDiv w:val="1"/>
      <w:marLeft w:val="0"/>
      <w:marRight w:val="0"/>
      <w:marTop w:val="0"/>
      <w:marBottom w:val="0"/>
      <w:divBdr>
        <w:top w:val="none" w:sz="0" w:space="0" w:color="auto"/>
        <w:left w:val="none" w:sz="0" w:space="0" w:color="auto"/>
        <w:bottom w:val="none" w:sz="0" w:space="0" w:color="auto"/>
        <w:right w:val="none" w:sz="0" w:space="0" w:color="auto"/>
      </w:divBdr>
    </w:div>
    <w:div w:id="2021617173">
      <w:bodyDiv w:val="1"/>
      <w:marLeft w:val="0"/>
      <w:marRight w:val="0"/>
      <w:marTop w:val="0"/>
      <w:marBottom w:val="0"/>
      <w:divBdr>
        <w:top w:val="none" w:sz="0" w:space="0" w:color="auto"/>
        <w:left w:val="none" w:sz="0" w:space="0" w:color="auto"/>
        <w:bottom w:val="none" w:sz="0" w:space="0" w:color="auto"/>
        <w:right w:val="none" w:sz="0" w:space="0" w:color="auto"/>
      </w:divBdr>
    </w:div>
    <w:div w:id="20277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6668-E5E7-4538-80A7-F19E7C0A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29</Pages>
  <Words>9013</Words>
  <Characters>49574</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ANCERO AUDITORES</dc:creator>
  <cp:lastModifiedBy>Ana Belén Felipe Herrera</cp:lastModifiedBy>
  <cp:revision>59</cp:revision>
  <cp:lastPrinted>2018-03-09T11:46:00Z</cp:lastPrinted>
  <dcterms:created xsi:type="dcterms:W3CDTF">2018-02-27T11:31:00Z</dcterms:created>
  <dcterms:modified xsi:type="dcterms:W3CDTF">2018-03-19T16:50:00Z</dcterms:modified>
</cp:coreProperties>
</file>